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DDC3" w14:textId="733A49A0" w:rsidR="00DD41B7" w:rsidRPr="00ED0EB4" w:rsidRDefault="00F52A5E">
      <w:pPr>
        <w:rPr>
          <w:sz w:val="32"/>
          <w:u w:val="single"/>
        </w:rPr>
      </w:pPr>
      <w:r w:rsidRPr="00ED0EB4">
        <w:rPr>
          <w:sz w:val="32"/>
          <w:u w:val="single"/>
        </w:rPr>
        <w:t xml:space="preserve">COMPARISON OF </w:t>
      </w:r>
      <w:r w:rsidR="00B82BBE" w:rsidRPr="00ED0EB4">
        <w:rPr>
          <w:sz w:val="32"/>
          <w:u w:val="single"/>
        </w:rPr>
        <w:t xml:space="preserve">ENVIRONMENTAL IMPACTS OF </w:t>
      </w:r>
      <w:r w:rsidRPr="00ED0EB4">
        <w:rPr>
          <w:sz w:val="32"/>
          <w:u w:val="single"/>
        </w:rPr>
        <w:t>OPEN COAL-FIRED HEATING WITH CENTRAL HEATING</w:t>
      </w:r>
      <w:r w:rsidR="00B82BBE" w:rsidRPr="00ED0EB4">
        <w:rPr>
          <w:sz w:val="32"/>
          <w:u w:val="single"/>
        </w:rPr>
        <w:t xml:space="preserve"> USING NATURAL GAS</w:t>
      </w:r>
    </w:p>
    <w:p w14:paraId="6121E2B3" w14:textId="3FFA9234" w:rsidR="002B3B0E" w:rsidRPr="00ED0EB4" w:rsidRDefault="002B3B0E">
      <w:pPr>
        <w:rPr>
          <w:sz w:val="24"/>
        </w:rPr>
      </w:pPr>
      <w:r w:rsidRPr="00ED0EB4">
        <w:rPr>
          <w:sz w:val="24"/>
        </w:rPr>
        <w:t>Peter Harper</w:t>
      </w:r>
    </w:p>
    <w:p w14:paraId="0AC7ADD6" w14:textId="69054A9C" w:rsidR="00A27020" w:rsidRPr="00ED0EB4" w:rsidRDefault="00A27020">
      <w:pPr>
        <w:rPr>
          <w:sz w:val="24"/>
        </w:rPr>
      </w:pPr>
      <w:r w:rsidRPr="00ED0EB4">
        <w:rPr>
          <w:sz w:val="24"/>
        </w:rPr>
        <w:t>May 2018</w:t>
      </w:r>
    </w:p>
    <w:p w14:paraId="7A992C84" w14:textId="614DBBD6" w:rsidR="00F52A5E" w:rsidRDefault="00F52A5E"/>
    <w:p w14:paraId="24D67911" w14:textId="69904A84" w:rsidR="00B82BBE" w:rsidRPr="00BA120C" w:rsidRDefault="00720ED6">
      <w:pPr>
        <w:rPr>
          <w:b/>
        </w:rPr>
      </w:pPr>
      <w:r>
        <w:rPr>
          <w:b/>
        </w:rPr>
        <w:t xml:space="preserve">I am a teacher </w:t>
      </w:r>
      <w:r w:rsidR="00ED0EB4">
        <w:rPr>
          <w:b/>
        </w:rPr>
        <w:t xml:space="preserve">at the Graduate School of the Environment. </w:t>
      </w:r>
      <w:r>
        <w:rPr>
          <w:b/>
        </w:rPr>
        <w:t>From time to time I am challenged by students to justify various statements I make in lectures, and this is just how it should be. But sometimes the challenges are about things so ‘obvious’ that I have not even bothered to give any evidence or argument at all. In these cases, it forces me to go back a long way and ask very fundamental questions. Could black really be white after all?</w:t>
      </w:r>
    </w:p>
    <w:p w14:paraId="0250E3C5" w14:textId="69005BE1" w:rsidR="00B82BBE" w:rsidRDefault="00B82BBE"/>
    <w:p w14:paraId="4DD1A55F" w14:textId="294005C3" w:rsidR="00720ED6" w:rsidRDefault="00720ED6">
      <w:r>
        <w:t>In April I claimed that the transition from open coal fires to natural gas central heating in the UK was one of the biggest revolutions in environmental quality. On the face of it, there is hardly any argument to be had. Coal has a</w:t>
      </w:r>
      <w:r w:rsidR="00ED0EB4">
        <w:t xml:space="preserve"> carbon-</w:t>
      </w:r>
      <w:r>
        <w:t>emissions intensity of about 350 g/kWh, natural gas</w:t>
      </w:r>
      <w:r w:rsidR="0044749C">
        <w:t xml:space="preserve"> about 200 g/kWh; coal fires are typically about 15% efficient, gas central heating about 80%. Multiply these figures together and you get a ratio of 23.3: 2.5 or about 9.3 to 1.</w:t>
      </w:r>
      <w:r w:rsidR="00CF5676">
        <w:t xml:space="preserve">  Compare this with other technical improvements such as hybrid vehicles. Hybrids are up to 50% ‘better’ than conventional vehicles and this is considered a significant improvement. Surely an improvement of </w:t>
      </w:r>
      <w:r w:rsidR="00CF5676" w:rsidRPr="00CF5676">
        <w:rPr>
          <w:i/>
        </w:rPr>
        <w:t>830%</w:t>
      </w:r>
      <w:r w:rsidR="00CF5676">
        <w:t xml:space="preserve"> would count as pretty fundamental? And that’s just CO2 emissions. Add in the spoil heaps, occupational risks, transport emissions, storage, smog, coal-ash disposal and the sheer filth of coal at all stage</w:t>
      </w:r>
      <w:r w:rsidR="00B54AAC">
        <w:t>s, and compare this to the silent and virtually invisible gas: surely there is no comparison? And yet a bold student called me out!</w:t>
      </w:r>
    </w:p>
    <w:p w14:paraId="26869D9F" w14:textId="3F813E36" w:rsidR="00B54AAC" w:rsidRDefault="00B54AAC"/>
    <w:p w14:paraId="0CA81505" w14:textId="5F879121" w:rsidR="001C66A9" w:rsidRDefault="00B54AAC">
      <w:r>
        <w:t xml:space="preserve">Maybe she had a point. An energy-conscious architect friend of mine (incidentally a former Director of CAT) once remarked that ‘the rot set in with central heating’. Aha. </w:t>
      </w:r>
      <w:r w:rsidR="001C66A9">
        <w:t xml:space="preserve">You can see what he meant: coal-fires were such a pain they dominated life and forced everyone to endure cold in other parts of the house and wear very warm clothes. In many houses there were open fires in every room, but they were almost never lit. It was far too much trouble for little gain.  But once gas central heating appeared, you could magically have warmth everywhere, all the time. Of course, in principle you could still operate central heating like a coal fire. You could have the radiator on in one room and keep the others unheated, just as before. The difference in emissions would be simply that between the relative efficiencies and the Emission factors, i.e., 0.15/0.34: 0.85/0.2, again a difference of over 800%, if we strictly compare like with like. But this is not how gas CH is normally used, and space heating energy consumption per person was </w:t>
      </w:r>
      <w:r w:rsidR="001C66A9" w:rsidRPr="001C66A9">
        <w:rPr>
          <w:i/>
        </w:rPr>
        <w:t>higher</w:t>
      </w:r>
      <w:r w:rsidR="001C66A9">
        <w:t xml:space="preserve"> in 2010 than it was in 1970.</w:t>
      </w:r>
    </w:p>
    <w:p w14:paraId="203016CD" w14:textId="77777777" w:rsidR="001C66A9" w:rsidRDefault="001C66A9"/>
    <w:p w14:paraId="5C3C692E" w14:textId="018A9590" w:rsidR="00B54AAC" w:rsidRDefault="001C66A9">
      <w:r>
        <w:t xml:space="preserve">In the early 70s </w:t>
      </w:r>
      <w:r w:rsidR="00ED0EB4">
        <w:t xml:space="preserve">UK </w:t>
      </w:r>
      <w:r>
        <w:t xml:space="preserve">space heating demand was 250 </w:t>
      </w:r>
      <w:proofErr w:type="spellStart"/>
      <w:r>
        <w:t>TWh</w:t>
      </w:r>
      <w:proofErr w:type="spellEnd"/>
      <w:r>
        <w:t>/</w:t>
      </w:r>
      <w:proofErr w:type="spellStart"/>
      <w:r>
        <w:t>yr</w:t>
      </w:r>
      <w:proofErr w:type="spellEnd"/>
      <w:r>
        <w:t xml:space="preserve">, mostly coal, for 18.8 million dwellings, so about 13,000 kWh per household. In the late 00’s space heating </w:t>
      </w:r>
      <w:r w:rsidR="00ED0EB4">
        <w:t xml:space="preserve">demand </w:t>
      </w:r>
      <w:r>
        <w:t xml:space="preserve">was higher, 350 </w:t>
      </w:r>
      <w:proofErr w:type="spellStart"/>
      <w:r>
        <w:t>TWh</w:t>
      </w:r>
      <w:proofErr w:type="spellEnd"/>
      <w:r>
        <w:t xml:space="preserve">/y, but for a larger number of dwellings, 27.1 million. This also generates around 13,000 kWh per household, although household size is now smaller, so heating energy </w:t>
      </w:r>
      <w:r w:rsidRPr="001C66A9">
        <w:rPr>
          <w:i/>
        </w:rPr>
        <w:t>per person</w:t>
      </w:r>
      <w:r>
        <w:t xml:space="preserve"> was greater in 2010, 5,600 kWh, while in 1970 it was 4,400: 27% less.</w:t>
      </w:r>
    </w:p>
    <w:p w14:paraId="304E5959" w14:textId="48C67044" w:rsidR="001C66A9" w:rsidRDefault="001C66A9"/>
    <w:p w14:paraId="7FCDBEBC" w14:textId="797218B8" w:rsidR="001C66A9" w:rsidRDefault="001C66A9">
      <w:r>
        <w:t>This illustrates a very widespread phenomenon: that improvements in technological efficiency</w:t>
      </w:r>
      <w:r w:rsidR="007657C0">
        <w:t xml:space="preserve"> are not usually used to reduce environmental impacts, but to increase comfort and convenience and reduce costs. In this case it has actually increased raw consumption, even though emissions and most other impacts have gone down</w:t>
      </w:r>
      <w:r w:rsidR="003A14D9">
        <w:t xml:space="preserve">.  Factoring this in, the </w:t>
      </w:r>
      <w:r w:rsidR="00F26528">
        <w:t xml:space="preserve">space-heating </w:t>
      </w:r>
      <w:r w:rsidR="003A14D9">
        <w:t>emissions in 2010 are ‘only’ 25% less than in 1970, not such a game</w:t>
      </w:r>
      <w:r w:rsidR="00F26528">
        <w:t>-</w:t>
      </w:r>
      <w:r w:rsidR="003A14D9">
        <w:t>set</w:t>
      </w:r>
      <w:r w:rsidR="00F26528">
        <w:t>-</w:t>
      </w:r>
      <w:r w:rsidR="003A14D9">
        <w:t>and</w:t>
      </w:r>
      <w:r w:rsidR="00F26528">
        <w:t>-</w:t>
      </w:r>
      <w:r w:rsidR="003A14D9">
        <w:t>match.</w:t>
      </w:r>
    </w:p>
    <w:p w14:paraId="292B3A0A" w14:textId="7A5E5A63" w:rsidR="00F26528" w:rsidRDefault="00F26528"/>
    <w:p w14:paraId="10BE701E" w14:textId="2D963B4A" w:rsidR="00F26528" w:rsidRDefault="00F26528">
      <w:r>
        <w:t>Regarding non-CO2 environmental impacts, most cannot easily be quantified, but there would probably be general agreement on the judgements in the following table. In each row, the environmental impact deemed greater is highlighted.</w:t>
      </w:r>
    </w:p>
    <w:p w14:paraId="46D0E176" w14:textId="28B5A8E2" w:rsidR="00B54AAC" w:rsidRDefault="00B54AAC"/>
    <w:p w14:paraId="5C1CB779" w14:textId="77777777" w:rsidR="00E824B9" w:rsidRDefault="00E824B9"/>
    <w:p w14:paraId="63CF0B1C" w14:textId="55450CD8" w:rsidR="00F52A5E" w:rsidRDefault="00F52A5E"/>
    <w:tbl>
      <w:tblPr>
        <w:tblStyle w:val="TableGrid"/>
        <w:tblW w:w="10401" w:type="dxa"/>
        <w:tblLook w:val="04A0" w:firstRow="1" w:lastRow="0" w:firstColumn="1" w:lastColumn="0" w:noHBand="0" w:noVBand="1"/>
      </w:tblPr>
      <w:tblGrid>
        <w:gridCol w:w="2597"/>
        <w:gridCol w:w="4625"/>
        <w:gridCol w:w="3179"/>
      </w:tblGrid>
      <w:tr w:rsidR="00F52A5E" w:rsidRPr="00AF72C0" w14:paraId="4CD7F826" w14:textId="77777777" w:rsidTr="00AF72C0">
        <w:trPr>
          <w:trHeight w:val="300"/>
        </w:trPr>
        <w:tc>
          <w:tcPr>
            <w:tcW w:w="2597" w:type="dxa"/>
          </w:tcPr>
          <w:p w14:paraId="71447B48" w14:textId="10F34A49" w:rsidR="00F52A5E" w:rsidRPr="00AF72C0" w:rsidRDefault="00F52A5E"/>
        </w:tc>
        <w:tc>
          <w:tcPr>
            <w:tcW w:w="4625" w:type="dxa"/>
          </w:tcPr>
          <w:p w14:paraId="6B3A7D67" w14:textId="51EED86F" w:rsidR="00F52A5E" w:rsidRPr="00AF72C0" w:rsidRDefault="00F52A5E">
            <w:r w:rsidRPr="00AF72C0">
              <w:t>Coal open fire</w:t>
            </w:r>
          </w:p>
        </w:tc>
        <w:tc>
          <w:tcPr>
            <w:tcW w:w="3179" w:type="dxa"/>
          </w:tcPr>
          <w:p w14:paraId="3DE9C92F" w14:textId="13B44810" w:rsidR="00F52A5E" w:rsidRPr="00AF72C0" w:rsidRDefault="00F52A5E">
            <w:r w:rsidRPr="00AF72C0">
              <w:t>Gas central heating</w:t>
            </w:r>
          </w:p>
        </w:tc>
      </w:tr>
      <w:tr w:rsidR="00F52A5E" w:rsidRPr="00AF72C0" w14:paraId="495744D9" w14:textId="77777777" w:rsidTr="00AF72C0">
        <w:trPr>
          <w:trHeight w:val="1183"/>
        </w:trPr>
        <w:tc>
          <w:tcPr>
            <w:tcW w:w="2597" w:type="dxa"/>
          </w:tcPr>
          <w:p w14:paraId="1457AF1C" w14:textId="40F68B1C" w:rsidR="00F52A5E" w:rsidRPr="00AF72C0" w:rsidRDefault="00F52A5E">
            <w:r w:rsidRPr="00AF72C0">
              <w:t>Extraction</w:t>
            </w:r>
          </w:p>
        </w:tc>
        <w:tc>
          <w:tcPr>
            <w:tcW w:w="4625" w:type="dxa"/>
            <w:shd w:val="clear" w:color="auto" w:fill="D0CECE" w:themeFill="background2" w:themeFillShade="E6"/>
          </w:tcPr>
          <w:p w14:paraId="02E58ED5" w14:textId="45BA2084" w:rsidR="00F52A5E" w:rsidRPr="00AF72C0" w:rsidRDefault="00F52A5E">
            <w:r w:rsidRPr="00AF72C0">
              <w:t>Coal mines, high occupational hazards, spoil heaps, visual intrusion</w:t>
            </w:r>
            <w:r w:rsidR="00F26528" w:rsidRPr="00AF72C0">
              <w:t>, wider social risks</w:t>
            </w:r>
            <w:r w:rsidR="001B1A04" w:rsidRPr="00AF72C0">
              <w:t>, soil and water pollution</w:t>
            </w:r>
          </w:p>
        </w:tc>
        <w:tc>
          <w:tcPr>
            <w:tcW w:w="3179" w:type="dxa"/>
          </w:tcPr>
          <w:p w14:paraId="3BA523B2" w14:textId="3E9208A4" w:rsidR="00F52A5E" w:rsidRPr="00AF72C0" w:rsidRDefault="00F52A5E">
            <w:r w:rsidRPr="00AF72C0">
              <w:t>Steel/concrete rigs, largely out-of-sight out-of-mind</w:t>
            </w:r>
            <w:r w:rsidR="00F26528" w:rsidRPr="00AF72C0">
              <w:t xml:space="preserve">; fracking greater impact </w:t>
            </w:r>
            <w:r w:rsidR="00B62721">
              <w:t xml:space="preserve">than offshore rigs </w:t>
            </w:r>
            <w:r w:rsidR="00F26528" w:rsidRPr="00AF72C0">
              <w:t>but less than mining</w:t>
            </w:r>
          </w:p>
        </w:tc>
      </w:tr>
      <w:tr w:rsidR="00F52A5E" w:rsidRPr="00AF72C0" w14:paraId="21030C81" w14:textId="77777777" w:rsidTr="00AF72C0">
        <w:trPr>
          <w:trHeight w:val="601"/>
        </w:trPr>
        <w:tc>
          <w:tcPr>
            <w:tcW w:w="2597" w:type="dxa"/>
          </w:tcPr>
          <w:p w14:paraId="33F919DD" w14:textId="20B126D3" w:rsidR="00F52A5E" w:rsidRPr="00AF72C0" w:rsidRDefault="00F52A5E">
            <w:r w:rsidRPr="00AF72C0">
              <w:t>Transport</w:t>
            </w:r>
          </w:p>
        </w:tc>
        <w:tc>
          <w:tcPr>
            <w:tcW w:w="4625" w:type="dxa"/>
            <w:shd w:val="clear" w:color="auto" w:fill="D0CECE" w:themeFill="background2" w:themeFillShade="E6"/>
          </w:tcPr>
          <w:p w14:paraId="766215BD" w14:textId="43EBF895" w:rsidR="00F52A5E" w:rsidRPr="00AF72C0" w:rsidRDefault="00F52A5E">
            <w:r w:rsidRPr="00AF72C0">
              <w:t>Open rail wagons, truck, sacks: transport energy</w:t>
            </w:r>
          </w:p>
        </w:tc>
        <w:tc>
          <w:tcPr>
            <w:tcW w:w="3179" w:type="dxa"/>
          </w:tcPr>
          <w:p w14:paraId="2BE8E76D" w14:textId="53DC7138" w:rsidR="00F52A5E" w:rsidRPr="00AF72C0" w:rsidRDefault="00F52A5E">
            <w:r w:rsidRPr="00AF72C0">
              <w:t>Underground pipelines: relatively small pumping energy</w:t>
            </w:r>
          </w:p>
        </w:tc>
      </w:tr>
      <w:tr w:rsidR="00F52A5E" w:rsidRPr="00AF72C0" w14:paraId="08A37981" w14:textId="77777777" w:rsidTr="00AF72C0">
        <w:trPr>
          <w:trHeight w:val="300"/>
        </w:trPr>
        <w:tc>
          <w:tcPr>
            <w:tcW w:w="2597" w:type="dxa"/>
          </w:tcPr>
          <w:p w14:paraId="0D03646B" w14:textId="53D344A3" w:rsidR="00F52A5E" w:rsidRPr="00AF72C0" w:rsidRDefault="00F52A5E">
            <w:r w:rsidRPr="00AF72C0">
              <w:t>Delivery and storage</w:t>
            </w:r>
          </w:p>
        </w:tc>
        <w:tc>
          <w:tcPr>
            <w:tcW w:w="4625" w:type="dxa"/>
            <w:shd w:val="clear" w:color="auto" w:fill="D0CECE" w:themeFill="background2" w:themeFillShade="E6"/>
          </w:tcPr>
          <w:p w14:paraId="56300F26" w14:textId="3F29826D" w:rsidR="00F52A5E" w:rsidRPr="00AF72C0" w:rsidRDefault="00F52A5E">
            <w:r w:rsidRPr="00AF72C0">
              <w:t>1cwt sacks, very filthy! Bunkers</w:t>
            </w:r>
          </w:p>
        </w:tc>
        <w:tc>
          <w:tcPr>
            <w:tcW w:w="3179" w:type="dxa"/>
          </w:tcPr>
          <w:p w14:paraId="0CC1FA14" w14:textId="34058EF1" w:rsidR="00F52A5E" w:rsidRPr="00AF72C0" w:rsidRDefault="00F52A5E">
            <w:r w:rsidRPr="00AF72C0">
              <w:t>Invisible</w:t>
            </w:r>
          </w:p>
        </w:tc>
      </w:tr>
      <w:tr w:rsidR="00F52A5E" w:rsidRPr="00AF72C0" w14:paraId="5CBE058B" w14:textId="77777777" w:rsidTr="00AF72C0">
        <w:trPr>
          <w:trHeight w:val="582"/>
        </w:trPr>
        <w:tc>
          <w:tcPr>
            <w:tcW w:w="2597" w:type="dxa"/>
          </w:tcPr>
          <w:p w14:paraId="02791219" w14:textId="20CC86B7" w:rsidR="00F52A5E" w:rsidRPr="00AF72C0" w:rsidRDefault="00F52A5E">
            <w:r w:rsidRPr="00AF72C0">
              <w:t>Conversion devices</w:t>
            </w:r>
          </w:p>
        </w:tc>
        <w:tc>
          <w:tcPr>
            <w:tcW w:w="4625" w:type="dxa"/>
          </w:tcPr>
          <w:p w14:paraId="79B80073" w14:textId="5846D4B3" w:rsidR="00F52A5E" w:rsidRPr="00AF72C0" w:rsidRDefault="00F52A5E">
            <w:r w:rsidRPr="00AF72C0">
              <w:t>Grate, flue, chimney</w:t>
            </w:r>
          </w:p>
        </w:tc>
        <w:tc>
          <w:tcPr>
            <w:tcW w:w="3179" w:type="dxa"/>
            <w:shd w:val="clear" w:color="auto" w:fill="D0CECE" w:themeFill="background2" w:themeFillShade="E6"/>
          </w:tcPr>
          <w:p w14:paraId="22F644E7" w14:textId="56452084" w:rsidR="00F52A5E" w:rsidRPr="00AF72C0" w:rsidRDefault="00F52A5E">
            <w:r w:rsidRPr="00AF72C0">
              <w:t>Boiler, pipes, radiators: higher embodied energy</w:t>
            </w:r>
          </w:p>
        </w:tc>
      </w:tr>
      <w:tr w:rsidR="0033427C" w:rsidRPr="00AF72C0" w14:paraId="49B807E6" w14:textId="77777777" w:rsidTr="00AF72C0">
        <w:trPr>
          <w:trHeight w:val="601"/>
        </w:trPr>
        <w:tc>
          <w:tcPr>
            <w:tcW w:w="2597" w:type="dxa"/>
          </w:tcPr>
          <w:p w14:paraId="0EFC314A" w14:textId="48C471E6" w:rsidR="0033427C" w:rsidRPr="00AF72C0" w:rsidRDefault="0033427C">
            <w:r w:rsidRPr="00AF72C0">
              <w:t>Supplementary heating</w:t>
            </w:r>
          </w:p>
        </w:tc>
        <w:tc>
          <w:tcPr>
            <w:tcW w:w="4625" w:type="dxa"/>
            <w:shd w:val="clear" w:color="auto" w:fill="D0CECE" w:themeFill="background2" w:themeFillShade="E6"/>
          </w:tcPr>
          <w:p w14:paraId="7BFBAAB0" w14:textId="27E6DE65" w:rsidR="0033427C" w:rsidRPr="00AF72C0" w:rsidRDefault="0033427C">
            <w:r w:rsidRPr="00AF72C0">
              <w:t>Electricity, kerosene</w:t>
            </w:r>
            <w:r w:rsidR="00F26528" w:rsidRPr="00AF72C0">
              <w:t>. Would reduce efficiency because open fires extract warm air</w:t>
            </w:r>
          </w:p>
        </w:tc>
        <w:tc>
          <w:tcPr>
            <w:tcW w:w="3179" w:type="dxa"/>
            <w:shd w:val="clear" w:color="auto" w:fill="auto"/>
          </w:tcPr>
          <w:p w14:paraId="00D014BB" w14:textId="502884D1" w:rsidR="0033427C" w:rsidRPr="00AF72C0" w:rsidRDefault="0033427C">
            <w:r w:rsidRPr="00AF72C0">
              <w:t>None</w:t>
            </w:r>
          </w:p>
        </w:tc>
      </w:tr>
      <w:tr w:rsidR="00D6699C" w:rsidRPr="00AF72C0" w14:paraId="49030AD4" w14:textId="77777777" w:rsidTr="00AF72C0">
        <w:trPr>
          <w:trHeight w:val="601"/>
        </w:trPr>
        <w:tc>
          <w:tcPr>
            <w:tcW w:w="2597" w:type="dxa"/>
          </w:tcPr>
          <w:p w14:paraId="7E3F1D92" w14:textId="1E424FE8" w:rsidR="00D6699C" w:rsidRPr="00AF72C0" w:rsidRDefault="00D6699C">
            <w:r w:rsidRPr="00AF72C0">
              <w:t>Hot water</w:t>
            </w:r>
          </w:p>
        </w:tc>
        <w:tc>
          <w:tcPr>
            <w:tcW w:w="4625" w:type="dxa"/>
            <w:shd w:val="clear" w:color="auto" w:fill="D0CECE" w:themeFill="background2" w:themeFillShade="E6"/>
          </w:tcPr>
          <w:p w14:paraId="565E63CC" w14:textId="63BC1F0D" w:rsidR="00D6699C" w:rsidRPr="00AF72C0" w:rsidRDefault="00D6699C">
            <w:r w:rsidRPr="00AF72C0">
              <w:t xml:space="preserve">Sometimes back-boiler, </w:t>
            </w:r>
            <w:r w:rsidR="000C58BA" w:rsidRPr="00AF72C0">
              <w:t>very inefficient in summer</w:t>
            </w:r>
            <w:r w:rsidR="00FF14E2" w:rsidRPr="00AF72C0">
              <w:t xml:space="preserve">; </w:t>
            </w:r>
            <w:r w:rsidRPr="00AF72C0">
              <w:t>often electric immersion-heater</w:t>
            </w:r>
          </w:p>
        </w:tc>
        <w:tc>
          <w:tcPr>
            <w:tcW w:w="3179" w:type="dxa"/>
            <w:shd w:val="clear" w:color="auto" w:fill="auto"/>
          </w:tcPr>
          <w:p w14:paraId="7E276964" w14:textId="15D08280" w:rsidR="00D6699C" w:rsidRPr="00AF72C0" w:rsidRDefault="00D6699C">
            <w:r w:rsidRPr="00AF72C0">
              <w:t xml:space="preserve">Provided by </w:t>
            </w:r>
            <w:r w:rsidR="00B62721">
              <w:t xml:space="preserve">gas </w:t>
            </w:r>
            <w:r w:rsidRPr="00AF72C0">
              <w:t>boiler</w:t>
            </w:r>
            <w:r w:rsidR="00B62721">
              <w:t>;</w:t>
            </w:r>
            <w:r w:rsidRPr="00AF72C0">
              <w:t xml:space="preserve"> gas</w:t>
            </w:r>
            <w:r w:rsidR="00B82BBE" w:rsidRPr="00AF72C0">
              <w:t xml:space="preserve"> </w:t>
            </w:r>
            <w:r w:rsidR="00B62721">
              <w:t>has lower emissions than</w:t>
            </w:r>
            <w:r w:rsidR="00B82BBE" w:rsidRPr="00AF72C0">
              <w:t xml:space="preserve"> </w:t>
            </w:r>
            <w:r w:rsidRPr="00AF72C0">
              <w:t>electricity</w:t>
            </w:r>
          </w:p>
        </w:tc>
      </w:tr>
      <w:tr w:rsidR="00626F52" w:rsidRPr="00AF72C0" w14:paraId="7D6265C2" w14:textId="77777777" w:rsidTr="00AF72C0">
        <w:trPr>
          <w:trHeight w:val="582"/>
        </w:trPr>
        <w:tc>
          <w:tcPr>
            <w:tcW w:w="2597" w:type="dxa"/>
          </w:tcPr>
          <w:p w14:paraId="05775644" w14:textId="799F69B6" w:rsidR="00626F52" w:rsidRPr="00AF72C0" w:rsidRDefault="00626F52">
            <w:r w:rsidRPr="00AF72C0">
              <w:t>Maintenance</w:t>
            </w:r>
          </w:p>
        </w:tc>
        <w:tc>
          <w:tcPr>
            <w:tcW w:w="4625" w:type="dxa"/>
            <w:shd w:val="clear" w:color="auto" w:fill="D0CECE" w:themeFill="background2" w:themeFillShade="E6"/>
          </w:tcPr>
          <w:p w14:paraId="4E352B3F" w14:textId="2D3EADBF" w:rsidR="00626F52" w:rsidRPr="00AF72C0" w:rsidRDefault="00626F52">
            <w:r w:rsidRPr="00AF72C0">
              <w:t xml:space="preserve">Annual </w:t>
            </w:r>
            <w:r w:rsidR="00FF14E2" w:rsidRPr="00AF72C0">
              <w:t xml:space="preserve">chimney-sweeping, </w:t>
            </w:r>
            <w:r w:rsidRPr="00AF72C0">
              <w:t>removal of soot</w:t>
            </w:r>
            <w:r w:rsidR="00FF14E2" w:rsidRPr="00AF72C0">
              <w:t xml:space="preserve"> and char in chimney</w:t>
            </w:r>
          </w:p>
        </w:tc>
        <w:tc>
          <w:tcPr>
            <w:tcW w:w="3179" w:type="dxa"/>
          </w:tcPr>
          <w:p w14:paraId="68C8E0BB" w14:textId="41E41154" w:rsidR="00626F52" w:rsidRPr="00AF72C0" w:rsidRDefault="00626F52">
            <w:r w:rsidRPr="00AF72C0">
              <w:t>Annual servicing, replacement every 15 years</w:t>
            </w:r>
          </w:p>
        </w:tc>
      </w:tr>
      <w:tr w:rsidR="00F52A5E" w:rsidRPr="00AF72C0" w14:paraId="3004135C" w14:textId="77777777" w:rsidTr="00AF72C0">
        <w:trPr>
          <w:trHeight w:val="601"/>
        </w:trPr>
        <w:tc>
          <w:tcPr>
            <w:tcW w:w="2597" w:type="dxa"/>
          </w:tcPr>
          <w:p w14:paraId="00E7851C" w14:textId="11BA4CB6" w:rsidR="00F52A5E" w:rsidRPr="00AF72C0" w:rsidRDefault="00F52A5E">
            <w:r w:rsidRPr="00AF72C0">
              <w:t>Operational</w:t>
            </w:r>
            <w:r w:rsidR="00626F52" w:rsidRPr="00AF72C0">
              <w:t xml:space="preserve"> impacts</w:t>
            </w:r>
            <w:r w:rsidR="00AF72C0" w:rsidRPr="00AF72C0">
              <w:t>, convenience, amenity</w:t>
            </w:r>
          </w:p>
        </w:tc>
        <w:tc>
          <w:tcPr>
            <w:tcW w:w="4625" w:type="dxa"/>
            <w:shd w:val="clear" w:color="auto" w:fill="D0CECE" w:themeFill="background2" w:themeFillShade="E6"/>
          </w:tcPr>
          <w:p w14:paraId="4CEA2DF5" w14:textId="44FF4CAB" w:rsidR="00F52A5E" w:rsidRPr="00AF72C0" w:rsidRDefault="00626F52">
            <w:r w:rsidRPr="00AF72C0">
              <w:t>Fire preparation, not a clean process; daily cleaning, ash disposal</w:t>
            </w:r>
            <w:r w:rsidR="00AA6269">
              <w:t>. Hard to control</w:t>
            </w:r>
            <w:bookmarkStart w:id="0" w:name="_GoBack"/>
            <w:bookmarkEnd w:id="0"/>
          </w:p>
        </w:tc>
        <w:tc>
          <w:tcPr>
            <w:tcW w:w="3179" w:type="dxa"/>
          </w:tcPr>
          <w:p w14:paraId="4EF1DEFB" w14:textId="5F46E072" w:rsidR="00F52A5E" w:rsidRPr="00AF72C0" w:rsidRDefault="00AA6269">
            <w:r>
              <w:t>I</w:t>
            </w:r>
            <w:r w:rsidR="00626F52" w:rsidRPr="00AF72C0">
              <w:t>nvisible</w:t>
            </w:r>
            <w:r>
              <w:t>, easily controlled either manually or automatically</w:t>
            </w:r>
          </w:p>
        </w:tc>
      </w:tr>
      <w:tr w:rsidR="00F52A5E" w:rsidRPr="00AF72C0" w14:paraId="5810E3FF" w14:textId="77777777" w:rsidTr="00AF72C0">
        <w:trPr>
          <w:trHeight w:val="902"/>
        </w:trPr>
        <w:tc>
          <w:tcPr>
            <w:tcW w:w="2597" w:type="dxa"/>
          </w:tcPr>
          <w:p w14:paraId="27677189" w14:textId="1EE18CDB" w:rsidR="00F52A5E" w:rsidRPr="00AF72C0" w:rsidRDefault="001C6F42">
            <w:r w:rsidRPr="00AF72C0">
              <w:t>Routine w</w:t>
            </w:r>
            <w:r w:rsidR="00626F52" w:rsidRPr="00AF72C0">
              <w:t>aste products</w:t>
            </w:r>
          </w:p>
        </w:tc>
        <w:tc>
          <w:tcPr>
            <w:tcW w:w="4625" w:type="dxa"/>
            <w:shd w:val="clear" w:color="auto" w:fill="D0CECE" w:themeFill="background2" w:themeFillShade="E6"/>
          </w:tcPr>
          <w:p w14:paraId="467B68B0" w14:textId="0E588BE1" w:rsidR="00F52A5E" w:rsidRPr="00AF72C0" w:rsidRDefault="00F26528">
            <w:r w:rsidRPr="00AF72C0">
              <w:t>H</w:t>
            </w:r>
            <w:r w:rsidR="00626F52" w:rsidRPr="00AF72C0">
              <w:t xml:space="preserve">igh CO2 production; smoke with carcinogenic chemicals, particulates, sulphur, </w:t>
            </w:r>
            <w:r w:rsidRPr="00AF72C0">
              <w:t>acid rain,</w:t>
            </w:r>
            <w:r w:rsidR="00AF72C0" w:rsidRPr="00AF72C0">
              <w:t xml:space="preserve"> </w:t>
            </w:r>
            <w:r w:rsidR="00626F52" w:rsidRPr="00AF72C0">
              <w:t xml:space="preserve">smog-forming items; high-sulphur </w:t>
            </w:r>
            <w:r w:rsidR="00AF72C0" w:rsidRPr="00AF72C0">
              <w:t xml:space="preserve">toxic </w:t>
            </w:r>
            <w:r w:rsidR="00626F52" w:rsidRPr="00AF72C0">
              <w:t>ash</w:t>
            </w:r>
          </w:p>
        </w:tc>
        <w:tc>
          <w:tcPr>
            <w:tcW w:w="3179" w:type="dxa"/>
          </w:tcPr>
          <w:p w14:paraId="076C1290" w14:textId="23CB4484" w:rsidR="00F52A5E" w:rsidRPr="00AF72C0" w:rsidRDefault="00626F52">
            <w:r w:rsidRPr="00AF72C0">
              <w:t>Low</w:t>
            </w:r>
            <w:r w:rsidR="00F26528" w:rsidRPr="00AF72C0">
              <w:t>er</w:t>
            </w:r>
            <w:r w:rsidRPr="00AF72C0">
              <w:t xml:space="preserve"> CO2 production</w:t>
            </w:r>
            <w:r w:rsidR="004F79B0" w:rsidRPr="00AF72C0">
              <w:t>, no solid waste</w:t>
            </w:r>
          </w:p>
        </w:tc>
      </w:tr>
      <w:tr w:rsidR="004F79B0" w:rsidRPr="00AF72C0" w14:paraId="4A51A8E2" w14:textId="77777777" w:rsidTr="00AF72C0">
        <w:trPr>
          <w:trHeight w:val="281"/>
        </w:trPr>
        <w:tc>
          <w:tcPr>
            <w:tcW w:w="2597" w:type="dxa"/>
          </w:tcPr>
          <w:p w14:paraId="70878F23" w14:textId="1BFA060E" w:rsidR="004F79B0" w:rsidRPr="00AF72C0" w:rsidRDefault="004F79B0">
            <w:r w:rsidRPr="00AF72C0">
              <w:t>Toxics</w:t>
            </w:r>
          </w:p>
        </w:tc>
        <w:tc>
          <w:tcPr>
            <w:tcW w:w="4625" w:type="dxa"/>
            <w:shd w:val="clear" w:color="auto" w:fill="D0CECE" w:themeFill="background2" w:themeFillShade="E6"/>
          </w:tcPr>
          <w:p w14:paraId="1B8B34EB" w14:textId="60CEBDAD" w:rsidR="004F79B0" w:rsidRPr="00AF72C0" w:rsidRDefault="004F79B0">
            <w:r w:rsidRPr="00AF72C0">
              <w:t>Risk of CO from incomplete combustion</w:t>
            </w:r>
          </w:p>
        </w:tc>
        <w:tc>
          <w:tcPr>
            <w:tcW w:w="3179" w:type="dxa"/>
          </w:tcPr>
          <w:p w14:paraId="4679D0F2" w14:textId="0CD90263" w:rsidR="004F79B0" w:rsidRPr="00AF72C0" w:rsidRDefault="004F79B0">
            <w:r w:rsidRPr="00AF72C0">
              <w:t>Some risk, but lower</w:t>
            </w:r>
          </w:p>
        </w:tc>
      </w:tr>
      <w:tr w:rsidR="004F79B0" w:rsidRPr="00AF72C0" w14:paraId="73743B4A" w14:textId="77777777" w:rsidTr="00AF72C0">
        <w:trPr>
          <w:trHeight w:val="300"/>
        </w:trPr>
        <w:tc>
          <w:tcPr>
            <w:tcW w:w="2597" w:type="dxa"/>
          </w:tcPr>
          <w:p w14:paraId="08A5FC4B" w14:textId="6A8DA525" w:rsidR="004F79B0" w:rsidRPr="00AF72C0" w:rsidRDefault="004F79B0">
            <w:r w:rsidRPr="00AF72C0">
              <w:t>Fire risk</w:t>
            </w:r>
          </w:p>
        </w:tc>
        <w:tc>
          <w:tcPr>
            <w:tcW w:w="4625" w:type="dxa"/>
            <w:shd w:val="clear" w:color="auto" w:fill="D0CECE" w:themeFill="background2" w:themeFillShade="E6"/>
          </w:tcPr>
          <w:p w14:paraId="62CC8D0E" w14:textId="199E5665" w:rsidR="004F79B0" w:rsidRPr="00AF72C0" w:rsidRDefault="004F79B0">
            <w:r w:rsidRPr="00AF72C0">
              <w:t>Low but acknowledged risk</w:t>
            </w:r>
            <w:r w:rsidR="00FF14E2" w:rsidRPr="00AF72C0">
              <w:t>; chimney fires</w:t>
            </w:r>
          </w:p>
        </w:tc>
        <w:tc>
          <w:tcPr>
            <w:tcW w:w="3179" w:type="dxa"/>
          </w:tcPr>
          <w:p w14:paraId="5C4C3AAF" w14:textId="578F6C97" w:rsidR="004F79B0" w:rsidRPr="00AF72C0" w:rsidRDefault="004F79B0">
            <w:r w:rsidRPr="00AF72C0">
              <w:t>Negligible risk</w:t>
            </w:r>
          </w:p>
        </w:tc>
      </w:tr>
      <w:tr w:rsidR="004F79B0" w:rsidRPr="00AF72C0" w14:paraId="78BAF184" w14:textId="77777777" w:rsidTr="00AF72C0">
        <w:trPr>
          <w:trHeight w:val="300"/>
        </w:trPr>
        <w:tc>
          <w:tcPr>
            <w:tcW w:w="2597" w:type="dxa"/>
          </w:tcPr>
          <w:p w14:paraId="68440E91" w14:textId="1596747F" w:rsidR="004F79B0" w:rsidRPr="00AF72C0" w:rsidRDefault="004F79B0">
            <w:r w:rsidRPr="00AF72C0">
              <w:t>Explosion risk</w:t>
            </w:r>
          </w:p>
        </w:tc>
        <w:tc>
          <w:tcPr>
            <w:tcW w:w="4625" w:type="dxa"/>
            <w:shd w:val="clear" w:color="auto" w:fill="auto"/>
          </w:tcPr>
          <w:p w14:paraId="15EFD035" w14:textId="63B05ACA" w:rsidR="004F79B0" w:rsidRPr="00AF72C0" w:rsidRDefault="004F79B0">
            <w:r w:rsidRPr="00AF72C0">
              <w:t>None</w:t>
            </w:r>
          </w:p>
        </w:tc>
        <w:tc>
          <w:tcPr>
            <w:tcW w:w="3179" w:type="dxa"/>
            <w:shd w:val="clear" w:color="auto" w:fill="D0CECE" w:themeFill="background2" w:themeFillShade="E6"/>
          </w:tcPr>
          <w:p w14:paraId="2C133A93" w14:textId="3CFA6296" w:rsidR="004F79B0" w:rsidRPr="00AF72C0" w:rsidRDefault="004F79B0">
            <w:r w:rsidRPr="00AF72C0">
              <w:t>Low but possible</w:t>
            </w:r>
          </w:p>
        </w:tc>
      </w:tr>
      <w:tr w:rsidR="00BA120C" w:rsidRPr="00AF72C0" w14:paraId="12375B94" w14:textId="77777777" w:rsidTr="00AF72C0">
        <w:trPr>
          <w:trHeight w:val="281"/>
        </w:trPr>
        <w:tc>
          <w:tcPr>
            <w:tcW w:w="2597" w:type="dxa"/>
          </w:tcPr>
          <w:p w14:paraId="1879B3A7" w14:textId="0FB81F19" w:rsidR="00BA120C" w:rsidRPr="00AF72C0" w:rsidRDefault="00BA120C" w:rsidP="00BA120C">
            <w:r w:rsidRPr="00AF72C0">
              <w:t>Overall efficiency</w:t>
            </w:r>
          </w:p>
        </w:tc>
        <w:tc>
          <w:tcPr>
            <w:tcW w:w="4625" w:type="dxa"/>
            <w:shd w:val="clear" w:color="auto" w:fill="D0CECE" w:themeFill="background2" w:themeFillShade="E6"/>
          </w:tcPr>
          <w:p w14:paraId="0FEDD4C8" w14:textId="436BC6AF" w:rsidR="00BA120C" w:rsidRPr="00AF72C0" w:rsidRDefault="00BA120C" w:rsidP="00BA120C">
            <w:r w:rsidRPr="00AF72C0">
              <w:t>14%</w:t>
            </w:r>
            <w:r w:rsidRPr="00AF72C0">
              <w:rPr>
                <w:rStyle w:val="FootnoteReference"/>
              </w:rPr>
              <w:footnoteReference w:id="1"/>
            </w:r>
          </w:p>
        </w:tc>
        <w:tc>
          <w:tcPr>
            <w:tcW w:w="3179" w:type="dxa"/>
          </w:tcPr>
          <w:p w14:paraId="3208AF3C" w14:textId="1B71F596" w:rsidR="00BA120C" w:rsidRPr="00AF72C0" w:rsidRDefault="00BA120C" w:rsidP="00BA120C">
            <w:r w:rsidRPr="00AF72C0">
              <w:t>70%</w:t>
            </w:r>
            <w:r w:rsidRPr="00AF72C0">
              <w:rPr>
                <w:rStyle w:val="FootnoteReference"/>
              </w:rPr>
              <w:footnoteReference w:id="2"/>
            </w:r>
          </w:p>
        </w:tc>
      </w:tr>
    </w:tbl>
    <w:p w14:paraId="554A6A74" w14:textId="77777777" w:rsidR="001B1A04" w:rsidRDefault="001B1A04"/>
    <w:p w14:paraId="3995A803" w14:textId="77777777" w:rsidR="00AF72C0" w:rsidRDefault="00AF72C0"/>
    <w:p w14:paraId="70C1FBA8" w14:textId="6C5A2F23" w:rsidR="00AF72C0" w:rsidRDefault="00AF72C0">
      <w:r>
        <w:t xml:space="preserve">With regard to airborne emissions referred to in ‘Routine Waste Products’, </w:t>
      </w:r>
      <w:r w:rsidR="000D3225">
        <w:t xml:space="preserve">some quantification is provided by </w:t>
      </w:r>
      <w:r>
        <w:t xml:space="preserve">DEFRA </w:t>
      </w:r>
      <w:r w:rsidR="000D3225">
        <w:t>in</w:t>
      </w:r>
      <w:r>
        <w:t xml:space="preserve"> the following graph covering </w:t>
      </w:r>
      <w:r w:rsidR="00AA6269">
        <w:t>particulate and NO</w:t>
      </w:r>
      <w:r w:rsidR="00AA6269" w:rsidRPr="00AA6269">
        <w:rPr>
          <w:vertAlign w:val="subscript"/>
        </w:rPr>
        <w:t>x</w:t>
      </w:r>
      <w:r w:rsidR="00AA6269">
        <w:t xml:space="preserve"> </w:t>
      </w:r>
      <w:r>
        <w:t>emissions from a variety of heating sources. The contrast between coal and gas is more than striking – but note that some other greenie favourites also compare poorly with gas CH</w:t>
      </w:r>
      <w:r w:rsidR="00B62721">
        <w:t xml:space="preserve"> in this respect</w:t>
      </w:r>
      <w:r>
        <w:t>.</w:t>
      </w:r>
    </w:p>
    <w:p w14:paraId="24033535" w14:textId="77777777" w:rsidR="00AF72C0" w:rsidRDefault="00AF72C0"/>
    <w:p w14:paraId="2E964846" w14:textId="379E6385" w:rsidR="00AF72C0" w:rsidRDefault="00AF72C0">
      <w:r w:rsidRPr="00AF72C0">
        <w:rPr>
          <w:noProof/>
        </w:rPr>
        <w:lastRenderedPageBreak/>
        <w:drawing>
          <wp:inline distT="0" distB="0" distL="0" distR="0" wp14:anchorId="16B76B5F" wp14:editId="01CDA371">
            <wp:extent cx="5724525" cy="3746936"/>
            <wp:effectExtent l="0" t="0" r="0" b="6350"/>
            <wp:docPr id="1" name="Picture 1" descr="C:\Users\Peter\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image0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3795"/>
                    <a:stretch/>
                  </pic:blipFill>
                  <pic:spPr bwMode="auto">
                    <a:xfrm>
                      <a:off x="0" y="0"/>
                      <a:ext cx="5734374" cy="3753383"/>
                    </a:xfrm>
                    <a:prstGeom prst="rect">
                      <a:avLst/>
                    </a:prstGeom>
                    <a:noFill/>
                    <a:ln>
                      <a:noFill/>
                    </a:ln>
                    <a:extLst>
                      <a:ext uri="{53640926-AAD7-44D8-BBD7-CCE9431645EC}">
                        <a14:shadowObscured xmlns:a14="http://schemas.microsoft.com/office/drawing/2010/main"/>
                      </a:ext>
                    </a:extLst>
                  </pic:spPr>
                </pic:pic>
              </a:graphicData>
            </a:graphic>
          </wp:inline>
        </w:drawing>
      </w:r>
      <w:r w:rsidR="00BA120C">
        <w:t xml:space="preserve"> </w:t>
      </w:r>
    </w:p>
    <w:p w14:paraId="1FAD9178" w14:textId="4869907A" w:rsidR="00AF72C0" w:rsidRDefault="00AF72C0"/>
    <w:p w14:paraId="42522591" w14:textId="77777777" w:rsidR="00AF72C0" w:rsidRDefault="00AF72C0" w:rsidP="00AF72C0">
      <w:r>
        <w:t xml:space="preserve">The raw data concerning GHG emissions are in the following table, and derived statistics in the subsequent table, making the simplifying assumption that most households used coal in 1970 and most used gas in 2010. The interpretation is crucially dependent on the ‘functional unit’ (per unit of what?) used as the denominator of an intensity measurement. </w:t>
      </w:r>
    </w:p>
    <w:p w14:paraId="35691160" w14:textId="1D7CF66F" w:rsidR="00AF72C0" w:rsidRDefault="00AF72C0"/>
    <w:p w14:paraId="28D049AC" w14:textId="4EFA4828" w:rsidR="00AF72C0" w:rsidRDefault="00AF72C0"/>
    <w:tbl>
      <w:tblPr>
        <w:tblW w:w="9752" w:type="dxa"/>
        <w:tblLook w:val="04A0" w:firstRow="1" w:lastRow="0" w:firstColumn="1" w:lastColumn="0" w:noHBand="0" w:noVBand="1"/>
      </w:tblPr>
      <w:tblGrid>
        <w:gridCol w:w="6885"/>
        <w:gridCol w:w="947"/>
        <w:gridCol w:w="947"/>
        <w:gridCol w:w="973"/>
      </w:tblGrid>
      <w:tr w:rsidR="00AF72C0" w:rsidRPr="00331E68" w14:paraId="69866750" w14:textId="77777777" w:rsidTr="00AF72C0">
        <w:trPr>
          <w:trHeight w:val="300"/>
        </w:trPr>
        <w:tc>
          <w:tcPr>
            <w:tcW w:w="6846" w:type="dxa"/>
            <w:tcBorders>
              <w:top w:val="nil"/>
              <w:left w:val="nil"/>
              <w:bottom w:val="nil"/>
              <w:right w:val="nil"/>
            </w:tcBorders>
            <w:shd w:val="clear" w:color="auto" w:fill="auto"/>
            <w:noWrap/>
            <w:vAlign w:val="bottom"/>
          </w:tcPr>
          <w:tbl>
            <w:tblPr>
              <w:tblStyle w:val="TableGrid"/>
              <w:tblW w:w="6762" w:type="dxa"/>
              <w:tblLook w:val="04A0" w:firstRow="1" w:lastRow="0" w:firstColumn="1" w:lastColumn="0" w:noHBand="0" w:noVBand="1"/>
            </w:tblPr>
            <w:tblGrid>
              <w:gridCol w:w="2254"/>
              <w:gridCol w:w="2254"/>
              <w:gridCol w:w="2254"/>
            </w:tblGrid>
            <w:tr w:rsidR="00AF72C0" w14:paraId="07AF4A48" w14:textId="77777777" w:rsidTr="00AF72C0">
              <w:tc>
                <w:tcPr>
                  <w:tcW w:w="2254" w:type="dxa"/>
                  <w:vAlign w:val="bottom"/>
                </w:tcPr>
                <w:p w14:paraId="66C0B594" w14:textId="77777777" w:rsidR="00AF72C0" w:rsidRDefault="00AF72C0" w:rsidP="00AF72C0"/>
              </w:tc>
              <w:tc>
                <w:tcPr>
                  <w:tcW w:w="2254" w:type="dxa"/>
                  <w:vAlign w:val="center"/>
                </w:tcPr>
                <w:p w14:paraId="0A02E648" w14:textId="67F1C69E" w:rsidR="00AF72C0" w:rsidRDefault="00AF72C0" w:rsidP="00AF72C0">
                  <w:pPr>
                    <w:jc w:val="center"/>
                  </w:pPr>
                  <w:r>
                    <w:rPr>
                      <w:rFonts w:ascii="Calibri" w:eastAsia="Times New Roman" w:hAnsi="Calibri" w:cs="Calibri"/>
                      <w:i/>
                      <w:color w:val="000000"/>
                      <w:sz w:val="24"/>
                      <w:lang w:eastAsia="en-GB"/>
                    </w:rPr>
                    <w:t>Open coal fire</w:t>
                  </w:r>
                  <w:r w:rsidRPr="00331E68">
                    <w:rPr>
                      <w:rFonts w:ascii="Calibri" w:eastAsia="Times New Roman" w:hAnsi="Calibri" w:cs="Calibri"/>
                      <w:i/>
                      <w:color w:val="000000"/>
                      <w:sz w:val="24"/>
                      <w:lang w:eastAsia="en-GB"/>
                    </w:rPr>
                    <w:t>, 1970</w:t>
                  </w:r>
                </w:p>
              </w:tc>
              <w:tc>
                <w:tcPr>
                  <w:tcW w:w="2254" w:type="dxa"/>
                  <w:vAlign w:val="center"/>
                </w:tcPr>
                <w:p w14:paraId="2C4900C5" w14:textId="77777777" w:rsidR="00AF72C0" w:rsidRDefault="00AF72C0" w:rsidP="00AF72C0">
                  <w:pPr>
                    <w:jc w:val="center"/>
                  </w:pPr>
                  <w:r w:rsidRPr="00331E68">
                    <w:rPr>
                      <w:rFonts w:ascii="Calibri" w:eastAsia="Times New Roman" w:hAnsi="Calibri" w:cs="Calibri"/>
                      <w:i/>
                      <w:color w:val="000000"/>
                      <w:sz w:val="24"/>
                      <w:lang w:eastAsia="en-GB"/>
                    </w:rPr>
                    <w:t xml:space="preserve">Natural gas Central Heating </w:t>
                  </w:r>
                  <w:r>
                    <w:rPr>
                      <w:rFonts w:ascii="Calibri" w:eastAsia="Times New Roman" w:hAnsi="Calibri" w:cs="Calibri"/>
                      <w:i/>
                      <w:color w:val="000000"/>
                      <w:sz w:val="24"/>
                      <w:lang w:eastAsia="en-GB"/>
                    </w:rPr>
                    <w:t>2010</w:t>
                  </w:r>
                </w:p>
              </w:tc>
            </w:tr>
            <w:tr w:rsidR="00AF72C0" w14:paraId="09B6CC8D" w14:textId="77777777" w:rsidTr="001C33BF">
              <w:tc>
                <w:tcPr>
                  <w:tcW w:w="2254" w:type="dxa"/>
                  <w:vAlign w:val="bottom"/>
                </w:tcPr>
                <w:p w14:paraId="6AC14EEC" w14:textId="77777777" w:rsidR="00AF72C0" w:rsidRDefault="00AF72C0" w:rsidP="00AF72C0">
                  <w:r w:rsidRPr="00BA120C">
                    <w:rPr>
                      <w:rFonts w:ascii="Calibri" w:eastAsia="Times New Roman" w:hAnsi="Calibri" w:cs="Calibri"/>
                      <w:color w:val="000000"/>
                      <w:lang w:eastAsia="en-GB"/>
                    </w:rPr>
                    <w:t>MWh/y</w:t>
                  </w:r>
                </w:p>
              </w:tc>
              <w:tc>
                <w:tcPr>
                  <w:tcW w:w="2254" w:type="dxa"/>
                  <w:vAlign w:val="bottom"/>
                </w:tcPr>
                <w:p w14:paraId="14FD985E" w14:textId="77777777" w:rsidR="00AF72C0" w:rsidRDefault="00AF72C0" w:rsidP="00AF72C0">
                  <w:r w:rsidRPr="001B1A04">
                    <w:rPr>
                      <w:rFonts w:asciiTheme="majorHAnsi" w:eastAsia="Times New Roman" w:hAnsiTheme="majorHAnsi" w:cstheme="majorHAnsi"/>
                      <w:b/>
                      <w:color w:val="000000"/>
                      <w:lang w:eastAsia="en-GB"/>
                    </w:rPr>
                    <w:t>250</w:t>
                  </w:r>
                </w:p>
              </w:tc>
              <w:tc>
                <w:tcPr>
                  <w:tcW w:w="2254" w:type="dxa"/>
                  <w:vAlign w:val="bottom"/>
                </w:tcPr>
                <w:p w14:paraId="5FCAFF73" w14:textId="77777777" w:rsidR="00AF72C0" w:rsidRDefault="00AF72C0" w:rsidP="00AF72C0">
                  <w:r w:rsidRPr="001B1A04">
                    <w:rPr>
                      <w:rFonts w:asciiTheme="majorHAnsi" w:eastAsia="Times New Roman" w:hAnsiTheme="majorHAnsi" w:cstheme="majorHAnsi"/>
                      <w:b/>
                      <w:color w:val="000000"/>
                      <w:lang w:eastAsia="en-GB"/>
                    </w:rPr>
                    <w:t>350</w:t>
                  </w:r>
                </w:p>
              </w:tc>
            </w:tr>
            <w:tr w:rsidR="00AF72C0" w14:paraId="28A861D8" w14:textId="77777777" w:rsidTr="001C33BF">
              <w:tc>
                <w:tcPr>
                  <w:tcW w:w="2254" w:type="dxa"/>
                  <w:vAlign w:val="bottom"/>
                </w:tcPr>
                <w:p w14:paraId="44D1F4AB" w14:textId="77777777" w:rsidR="00AF72C0" w:rsidRDefault="00AF72C0" w:rsidP="00AF72C0">
                  <w:r w:rsidRPr="00BA120C">
                    <w:rPr>
                      <w:rFonts w:ascii="Calibri" w:eastAsia="Times New Roman" w:hAnsi="Calibri" w:cs="Calibri"/>
                      <w:color w:val="000000"/>
                      <w:lang w:eastAsia="en-GB"/>
                    </w:rPr>
                    <w:t># dwellings</w:t>
                  </w:r>
                </w:p>
              </w:tc>
              <w:tc>
                <w:tcPr>
                  <w:tcW w:w="2254" w:type="dxa"/>
                  <w:vAlign w:val="bottom"/>
                </w:tcPr>
                <w:p w14:paraId="45A42DD8" w14:textId="77777777" w:rsidR="00AF72C0" w:rsidRDefault="00AF72C0" w:rsidP="00AF72C0">
                  <w:r w:rsidRPr="001B1A04">
                    <w:rPr>
                      <w:rFonts w:asciiTheme="majorHAnsi" w:eastAsia="Times New Roman" w:hAnsiTheme="majorHAnsi" w:cstheme="majorHAnsi"/>
                      <w:b/>
                      <w:color w:val="000000"/>
                      <w:lang w:eastAsia="en-GB"/>
                    </w:rPr>
                    <w:t>18.8</w:t>
                  </w:r>
                </w:p>
              </w:tc>
              <w:tc>
                <w:tcPr>
                  <w:tcW w:w="2254" w:type="dxa"/>
                  <w:vAlign w:val="bottom"/>
                </w:tcPr>
                <w:p w14:paraId="467F9C9F" w14:textId="77777777" w:rsidR="00AF72C0" w:rsidRDefault="00AF72C0" w:rsidP="00AF72C0">
                  <w:r w:rsidRPr="001B1A04">
                    <w:rPr>
                      <w:rFonts w:asciiTheme="majorHAnsi" w:eastAsia="Times New Roman" w:hAnsiTheme="majorHAnsi" w:cstheme="majorHAnsi"/>
                      <w:b/>
                      <w:color w:val="000000"/>
                      <w:lang w:eastAsia="en-GB"/>
                    </w:rPr>
                    <w:t>27.1</w:t>
                  </w:r>
                </w:p>
              </w:tc>
            </w:tr>
            <w:tr w:rsidR="00AF72C0" w14:paraId="572EF603" w14:textId="77777777" w:rsidTr="001C33BF">
              <w:tc>
                <w:tcPr>
                  <w:tcW w:w="2254" w:type="dxa"/>
                  <w:vAlign w:val="bottom"/>
                </w:tcPr>
                <w:p w14:paraId="5EBE6C64" w14:textId="77777777" w:rsidR="00AF72C0" w:rsidRDefault="00AF72C0" w:rsidP="00AF72C0">
                  <w:r>
                    <w:rPr>
                      <w:rFonts w:ascii="Calibri" w:eastAsia="Times New Roman" w:hAnsi="Calibri" w:cs="Calibri"/>
                      <w:color w:val="000000"/>
                      <w:lang w:eastAsia="en-GB"/>
                    </w:rPr>
                    <w:t>Household</w:t>
                  </w:r>
                  <w:r w:rsidRPr="00BA120C">
                    <w:rPr>
                      <w:rFonts w:ascii="Calibri" w:eastAsia="Times New Roman" w:hAnsi="Calibri" w:cs="Calibri"/>
                      <w:color w:val="000000"/>
                      <w:lang w:eastAsia="en-GB"/>
                    </w:rPr>
                    <w:t xml:space="preserve"> size</w:t>
                  </w:r>
                </w:p>
              </w:tc>
              <w:tc>
                <w:tcPr>
                  <w:tcW w:w="2254" w:type="dxa"/>
                  <w:vAlign w:val="bottom"/>
                </w:tcPr>
                <w:p w14:paraId="4A5118C3" w14:textId="77777777" w:rsidR="00AF72C0" w:rsidRDefault="00AF72C0" w:rsidP="00AF72C0">
                  <w:r w:rsidRPr="001B1A04">
                    <w:rPr>
                      <w:rFonts w:asciiTheme="majorHAnsi" w:eastAsia="Times New Roman" w:hAnsiTheme="majorHAnsi" w:cstheme="majorHAnsi"/>
                      <w:b/>
                      <w:color w:val="000000"/>
                      <w:lang w:eastAsia="en-GB"/>
                    </w:rPr>
                    <w:t>3</w:t>
                  </w:r>
                </w:p>
              </w:tc>
              <w:tc>
                <w:tcPr>
                  <w:tcW w:w="2254" w:type="dxa"/>
                  <w:vAlign w:val="bottom"/>
                </w:tcPr>
                <w:p w14:paraId="242FC1EA" w14:textId="77777777" w:rsidR="00AF72C0" w:rsidRDefault="00AF72C0" w:rsidP="00AF72C0">
                  <w:r w:rsidRPr="001B1A04">
                    <w:rPr>
                      <w:rFonts w:asciiTheme="majorHAnsi" w:eastAsia="Times New Roman" w:hAnsiTheme="majorHAnsi" w:cstheme="majorHAnsi"/>
                      <w:b/>
                      <w:color w:val="000000"/>
                      <w:lang w:eastAsia="en-GB"/>
                    </w:rPr>
                    <w:t>2.3</w:t>
                  </w:r>
                </w:p>
              </w:tc>
            </w:tr>
            <w:tr w:rsidR="00AF72C0" w14:paraId="4FF9CC09" w14:textId="77777777" w:rsidTr="001C33BF">
              <w:tc>
                <w:tcPr>
                  <w:tcW w:w="2254" w:type="dxa"/>
                  <w:vAlign w:val="bottom"/>
                </w:tcPr>
                <w:p w14:paraId="3FA0C049" w14:textId="34C275F3" w:rsidR="00AF72C0" w:rsidRDefault="00B62721" w:rsidP="00AF72C0">
                  <w:r>
                    <w:rPr>
                      <w:rFonts w:ascii="Calibri" w:eastAsia="Times New Roman" w:hAnsi="Calibri" w:cs="Calibri"/>
                      <w:color w:val="000000"/>
                      <w:lang w:eastAsia="en-GB"/>
                    </w:rPr>
                    <w:t>C</w:t>
                  </w:r>
                  <w:r w:rsidR="00AF72C0" w:rsidRPr="00BA120C">
                    <w:rPr>
                      <w:rFonts w:ascii="Calibri" w:eastAsia="Times New Roman" w:hAnsi="Calibri" w:cs="Calibri"/>
                      <w:color w:val="000000"/>
                      <w:lang w:eastAsia="en-GB"/>
                    </w:rPr>
                    <w:t>arbon intensity</w:t>
                  </w:r>
                </w:p>
              </w:tc>
              <w:tc>
                <w:tcPr>
                  <w:tcW w:w="2254" w:type="dxa"/>
                  <w:vAlign w:val="bottom"/>
                </w:tcPr>
                <w:p w14:paraId="14FD7947" w14:textId="77777777" w:rsidR="00AF72C0" w:rsidRDefault="00AF72C0" w:rsidP="00AF72C0">
                  <w:r w:rsidRPr="001B1A04">
                    <w:rPr>
                      <w:rFonts w:asciiTheme="majorHAnsi" w:eastAsia="Times New Roman" w:hAnsiTheme="majorHAnsi" w:cstheme="majorHAnsi"/>
                      <w:b/>
                      <w:color w:val="000000"/>
                      <w:lang w:eastAsia="en-GB"/>
                    </w:rPr>
                    <w:t>0.34</w:t>
                  </w:r>
                </w:p>
              </w:tc>
              <w:tc>
                <w:tcPr>
                  <w:tcW w:w="2254" w:type="dxa"/>
                  <w:vAlign w:val="bottom"/>
                </w:tcPr>
                <w:p w14:paraId="5B225A94" w14:textId="77777777" w:rsidR="00AF72C0" w:rsidRDefault="00AF72C0" w:rsidP="00AF72C0">
                  <w:r w:rsidRPr="001B1A04">
                    <w:rPr>
                      <w:rFonts w:asciiTheme="majorHAnsi" w:eastAsia="Times New Roman" w:hAnsiTheme="majorHAnsi" w:cstheme="majorHAnsi"/>
                      <w:b/>
                      <w:color w:val="000000"/>
                      <w:lang w:eastAsia="en-GB"/>
                    </w:rPr>
                    <w:t>0.2</w:t>
                  </w:r>
                </w:p>
              </w:tc>
            </w:tr>
            <w:tr w:rsidR="00AF72C0" w14:paraId="4C51282A" w14:textId="77777777" w:rsidTr="001C33BF">
              <w:tc>
                <w:tcPr>
                  <w:tcW w:w="2254" w:type="dxa"/>
                  <w:vAlign w:val="bottom"/>
                </w:tcPr>
                <w:p w14:paraId="3D15612B" w14:textId="77777777" w:rsidR="00AF72C0" w:rsidRDefault="00AF72C0" w:rsidP="00AF72C0">
                  <w:r w:rsidRPr="00BA120C">
                    <w:rPr>
                      <w:rFonts w:ascii="Calibri" w:eastAsia="Times New Roman" w:hAnsi="Calibri" w:cs="Calibri"/>
                      <w:color w:val="000000"/>
                      <w:lang w:eastAsia="en-GB"/>
                    </w:rPr>
                    <w:t>Efficiency</w:t>
                  </w:r>
                  <w:r>
                    <w:rPr>
                      <w:rFonts w:ascii="Calibri" w:eastAsia="Times New Roman" w:hAnsi="Calibri" w:cs="Calibri"/>
                      <w:color w:val="000000"/>
                      <w:lang w:eastAsia="en-GB"/>
                    </w:rPr>
                    <w:t xml:space="preserve"> 1970</w:t>
                  </w:r>
                </w:p>
              </w:tc>
              <w:tc>
                <w:tcPr>
                  <w:tcW w:w="2254" w:type="dxa"/>
                  <w:vAlign w:val="bottom"/>
                </w:tcPr>
                <w:p w14:paraId="783D77AC" w14:textId="77777777" w:rsidR="00AF72C0" w:rsidRDefault="00AF72C0" w:rsidP="00AF72C0">
                  <w:r w:rsidRPr="001B1A04">
                    <w:rPr>
                      <w:rFonts w:asciiTheme="majorHAnsi" w:eastAsia="Times New Roman" w:hAnsiTheme="majorHAnsi" w:cstheme="majorHAnsi"/>
                      <w:b/>
                      <w:color w:val="000000"/>
                      <w:lang w:eastAsia="en-GB"/>
                    </w:rPr>
                    <w:t>0.14</w:t>
                  </w:r>
                </w:p>
              </w:tc>
              <w:tc>
                <w:tcPr>
                  <w:tcW w:w="2254" w:type="dxa"/>
                  <w:vAlign w:val="bottom"/>
                </w:tcPr>
                <w:p w14:paraId="69250581" w14:textId="77777777" w:rsidR="00AF72C0" w:rsidRDefault="00AF72C0" w:rsidP="00AF72C0">
                  <w:r w:rsidRPr="001B1A04">
                    <w:rPr>
                      <w:rFonts w:asciiTheme="majorHAnsi" w:eastAsia="Times New Roman" w:hAnsiTheme="majorHAnsi" w:cstheme="majorHAnsi"/>
                      <w:b/>
                      <w:color w:val="000000"/>
                      <w:lang w:eastAsia="en-GB"/>
                    </w:rPr>
                    <w:t>0.7</w:t>
                  </w:r>
                </w:p>
              </w:tc>
            </w:tr>
            <w:tr w:rsidR="00AF72C0" w14:paraId="311CC7E9" w14:textId="77777777" w:rsidTr="001C33BF">
              <w:tc>
                <w:tcPr>
                  <w:tcW w:w="2254" w:type="dxa"/>
                  <w:vAlign w:val="bottom"/>
                </w:tcPr>
                <w:p w14:paraId="607EA83A" w14:textId="77777777" w:rsidR="00AF72C0" w:rsidRPr="00BA120C" w:rsidRDefault="00AF72C0" w:rsidP="00AF72C0">
                  <w:pPr>
                    <w:rPr>
                      <w:rFonts w:ascii="Calibri" w:eastAsia="Times New Roman" w:hAnsi="Calibri" w:cs="Calibri"/>
                      <w:color w:val="000000"/>
                      <w:lang w:eastAsia="en-GB"/>
                    </w:rPr>
                  </w:pPr>
                  <w:r>
                    <w:rPr>
                      <w:rFonts w:ascii="Calibri" w:eastAsia="Times New Roman" w:hAnsi="Calibri" w:cs="Calibri"/>
                      <w:color w:val="000000"/>
                      <w:lang w:eastAsia="en-GB"/>
                    </w:rPr>
                    <w:t>Efficiency 2010</w:t>
                  </w:r>
                </w:p>
              </w:tc>
              <w:tc>
                <w:tcPr>
                  <w:tcW w:w="2254" w:type="dxa"/>
                  <w:vAlign w:val="bottom"/>
                </w:tcPr>
                <w:p w14:paraId="76089228" w14:textId="6477FE2C" w:rsidR="00AF72C0" w:rsidRPr="001B1A04" w:rsidRDefault="00AF72C0" w:rsidP="00AF72C0">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0.1</w:t>
                  </w:r>
                  <w:r>
                    <w:rPr>
                      <w:rStyle w:val="FootnoteReference"/>
                      <w:rFonts w:asciiTheme="majorHAnsi" w:eastAsia="Times New Roman" w:hAnsiTheme="majorHAnsi" w:cstheme="majorHAnsi"/>
                      <w:b/>
                      <w:color w:val="000000"/>
                      <w:lang w:eastAsia="en-GB"/>
                    </w:rPr>
                    <w:footnoteReference w:id="3"/>
                  </w:r>
                </w:p>
              </w:tc>
              <w:tc>
                <w:tcPr>
                  <w:tcW w:w="2254" w:type="dxa"/>
                  <w:vAlign w:val="bottom"/>
                </w:tcPr>
                <w:p w14:paraId="41DC079C" w14:textId="77777777" w:rsidR="00AF72C0" w:rsidRPr="001B1A04" w:rsidRDefault="00AF72C0" w:rsidP="00AF72C0">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0.85</w:t>
                  </w:r>
                </w:p>
              </w:tc>
            </w:tr>
          </w:tbl>
          <w:p w14:paraId="1237F46D" w14:textId="0E47A847" w:rsidR="00BA120C" w:rsidRPr="00BA120C" w:rsidRDefault="00BA120C" w:rsidP="00BA120C">
            <w:pPr>
              <w:spacing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tcPr>
          <w:p w14:paraId="15DA84A1" w14:textId="77777777" w:rsidR="00BA120C" w:rsidRDefault="00BA120C" w:rsidP="00CA033C">
            <w:pPr>
              <w:spacing w:line="240" w:lineRule="auto"/>
              <w:jc w:val="right"/>
              <w:rPr>
                <w:rFonts w:ascii="Calibri" w:eastAsia="Times New Roman" w:hAnsi="Calibri" w:cs="Calibri"/>
                <w:i/>
                <w:color w:val="000000"/>
                <w:sz w:val="24"/>
                <w:lang w:eastAsia="en-GB"/>
              </w:rPr>
            </w:pPr>
          </w:p>
          <w:p w14:paraId="67D8B5AB" w14:textId="77777777" w:rsidR="00AF72C0" w:rsidRDefault="00AF72C0" w:rsidP="00CA033C">
            <w:pPr>
              <w:spacing w:line="240" w:lineRule="auto"/>
              <w:jc w:val="right"/>
              <w:rPr>
                <w:rFonts w:ascii="Calibri" w:eastAsia="Times New Roman" w:hAnsi="Calibri" w:cs="Calibri"/>
                <w:i/>
                <w:color w:val="000000"/>
                <w:sz w:val="24"/>
                <w:lang w:eastAsia="en-GB"/>
              </w:rPr>
            </w:pPr>
          </w:p>
          <w:p w14:paraId="4055FC20" w14:textId="77777777" w:rsidR="00AF72C0" w:rsidRDefault="00AF72C0" w:rsidP="00CA033C">
            <w:pPr>
              <w:spacing w:line="240" w:lineRule="auto"/>
              <w:jc w:val="right"/>
              <w:rPr>
                <w:rFonts w:ascii="Calibri" w:eastAsia="Times New Roman" w:hAnsi="Calibri" w:cs="Calibri"/>
                <w:i/>
                <w:color w:val="000000"/>
                <w:sz w:val="24"/>
                <w:lang w:eastAsia="en-GB"/>
              </w:rPr>
            </w:pPr>
          </w:p>
          <w:p w14:paraId="110A7A1D" w14:textId="77777777" w:rsidR="00AF72C0" w:rsidRDefault="00AF72C0" w:rsidP="00CA033C">
            <w:pPr>
              <w:spacing w:line="240" w:lineRule="auto"/>
              <w:jc w:val="right"/>
              <w:rPr>
                <w:rFonts w:ascii="Calibri" w:eastAsia="Times New Roman" w:hAnsi="Calibri" w:cs="Calibri"/>
                <w:i/>
                <w:color w:val="000000"/>
                <w:sz w:val="24"/>
                <w:lang w:eastAsia="en-GB"/>
              </w:rPr>
            </w:pPr>
          </w:p>
          <w:p w14:paraId="1C272132" w14:textId="77777777" w:rsidR="00AF72C0" w:rsidRDefault="00AF72C0" w:rsidP="00CA033C">
            <w:pPr>
              <w:spacing w:line="240" w:lineRule="auto"/>
              <w:jc w:val="right"/>
              <w:rPr>
                <w:rFonts w:ascii="Calibri" w:eastAsia="Times New Roman" w:hAnsi="Calibri" w:cs="Calibri"/>
                <w:i/>
                <w:color w:val="000000"/>
                <w:sz w:val="24"/>
                <w:lang w:eastAsia="en-GB"/>
              </w:rPr>
            </w:pPr>
          </w:p>
          <w:p w14:paraId="07A8A210" w14:textId="59FB638E" w:rsidR="00AF72C0" w:rsidRPr="00331E68" w:rsidRDefault="00AF72C0" w:rsidP="00CA033C">
            <w:pPr>
              <w:spacing w:line="240" w:lineRule="auto"/>
              <w:jc w:val="right"/>
              <w:rPr>
                <w:rFonts w:ascii="Calibri" w:eastAsia="Times New Roman" w:hAnsi="Calibri" w:cs="Calibri"/>
                <w:i/>
                <w:color w:val="000000"/>
                <w:sz w:val="24"/>
                <w:lang w:eastAsia="en-GB"/>
              </w:rPr>
            </w:pPr>
          </w:p>
        </w:tc>
        <w:tc>
          <w:tcPr>
            <w:tcW w:w="960" w:type="dxa"/>
            <w:tcBorders>
              <w:top w:val="nil"/>
              <w:left w:val="nil"/>
              <w:bottom w:val="nil"/>
              <w:right w:val="nil"/>
            </w:tcBorders>
            <w:shd w:val="clear" w:color="auto" w:fill="auto"/>
            <w:noWrap/>
            <w:vAlign w:val="bottom"/>
          </w:tcPr>
          <w:p w14:paraId="6B5DF695" w14:textId="77777777" w:rsidR="00BA120C" w:rsidRPr="00331E68" w:rsidRDefault="00BA120C" w:rsidP="00BA120C">
            <w:pPr>
              <w:spacing w:line="240" w:lineRule="auto"/>
              <w:rPr>
                <w:rFonts w:ascii="Calibri" w:eastAsia="Times New Roman" w:hAnsi="Calibri" w:cs="Calibri"/>
                <w:i/>
                <w:color w:val="000000"/>
                <w:sz w:val="24"/>
                <w:lang w:eastAsia="en-GB"/>
              </w:rPr>
            </w:pPr>
          </w:p>
        </w:tc>
        <w:tc>
          <w:tcPr>
            <w:tcW w:w="986" w:type="dxa"/>
            <w:tcBorders>
              <w:top w:val="nil"/>
              <w:left w:val="nil"/>
              <w:bottom w:val="nil"/>
              <w:right w:val="nil"/>
            </w:tcBorders>
            <w:shd w:val="clear" w:color="auto" w:fill="auto"/>
            <w:noWrap/>
            <w:vAlign w:val="bottom"/>
          </w:tcPr>
          <w:p w14:paraId="0EC9A9DE" w14:textId="1767E19F" w:rsidR="00BA120C" w:rsidRPr="00331E68" w:rsidRDefault="00BA120C" w:rsidP="00CA033C">
            <w:pPr>
              <w:spacing w:line="240" w:lineRule="auto"/>
              <w:jc w:val="right"/>
              <w:rPr>
                <w:rFonts w:ascii="Calibri" w:eastAsia="Times New Roman" w:hAnsi="Calibri" w:cs="Calibri"/>
                <w:i/>
                <w:color w:val="000000"/>
                <w:sz w:val="24"/>
                <w:lang w:eastAsia="en-GB"/>
              </w:rPr>
            </w:pPr>
          </w:p>
        </w:tc>
      </w:tr>
      <w:tr w:rsidR="00AF72C0" w:rsidRPr="00BA120C" w14:paraId="1D3736E8" w14:textId="77777777" w:rsidTr="00AF72C0">
        <w:trPr>
          <w:trHeight w:val="101"/>
        </w:trPr>
        <w:tc>
          <w:tcPr>
            <w:tcW w:w="6846" w:type="dxa"/>
            <w:tcBorders>
              <w:top w:val="nil"/>
              <w:left w:val="nil"/>
              <w:bottom w:val="nil"/>
              <w:right w:val="nil"/>
            </w:tcBorders>
            <w:shd w:val="clear" w:color="auto" w:fill="auto"/>
            <w:noWrap/>
            <w:vAlign w:val="bottom"/>
          </w:tcPr>
          <w:p w14:paraId="643654B5" w14:textId="6DA88355" w:rsidR="00BA120C" w:rsidRPr="00BA120C" w:rsidRDefault="00BA120C" w:rsidP="00BA120C">
            <w:pPr>
              <w:spacing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12EF4BC6" w14:textId="77777777" w:rsidR="00BA120C" w:rsidRDefault="00BA120C" w:rsidP="00BA120C">
            <w:pPr>
              <w:spacing w:line="240" w:lineRule="auto"/>
              <w:jc w:val="right"/>
              <w:rPr>
                <w:rFonts w:asciiTheme="majorHAnsi" w:eastAsia="Times New Roman" w:hAnsiTheme="majorHAnsi" w:cstheme="majorHAnsi"/>
                <w:b/>
                <w:color w:val="000000"/>
                <w:lang w:eastAsia="en-GB"/>
              </w:rPr>
            </w:pPr>
          </w:p>
          <w:p w14:paraId="135C8C22" w14:textId="460D9A8F" w:rsidR="00AF72C0" w:rsidRPr="001B1A04" w:rsidRDefault="00AF72C0" w:rsidP="00BA120C">
            <w:pPr>
              <w:spacing w:line="240" w:lineRule="auto"/>
              <w:jc w:val="right"/>
              <w:rPr>
                <w:rFonts w:asciiTheme="majorHAnsi" w:eastAsia="Times New Roman" w:hAnsiTheme="majorHAnsi" w:cstheme="majorHAnsi"/>
                <w:b/>
                <w:color w:val="000000"/>
                <w:lang w:eastAsia="en-GB"/>
              </w:rPr>
            </w:pPr>
          </w:p>
        </w:tc>
        <w:tc>
          <w:tcPr>
            <w:tcW w:w="960" w:type="dxa"/>
            <w:tcBorders>
              <w:top w:val="nil"/>
              <w:left w:val="nil"/>
              <w:bottom w:val="nil"/>
              <w:right w:val="nil"/>
            </w:tcBorders>
            <w:shd w:val="clear" w:color="auto" w:fill="auto"/>
            <w:noWrap/>
            <w:vAlign w:val="bottom"/>
          </w:tcPr>
          <w:p w14:paraId="6078A8CD" w14:textId="77777777"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86" w:type="dxa"/>
            <w:tcBorders>
              <w:top w:val="nil"/>
              <w:left w:val="nil"/>
              <w:bottom w:val="nil"/>
              <w:right w:val="nil"/>
            </w:tcBorders>
            <w:shd w:val="clear" w:color="auto" w:fill="auto"/>
            <w:noWrap/>
            <w:vAlign w:val="bottom"/>
          </w:tcPr>
          <w:p w14:paraId="0FF0A002" w14:textId="54A7231B"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r>
    </w:tbl>
    <w:tbl>
      <w:tblPr>
        <w:tblStyle w:val="TableGrid"/>
        <w:tblW w:w="0" w:type="auto"/>
        <w:tblLook w:val="04A0" w:firstRow="1" w:lastRow="0" w:firstColumn="1" w:lastColumn="0" w:noHBand="0" w:noVBand="1"/>
      </w:tblPr>
      <w:tblGrid>
        <w:gridCol w:w="3696"/>
        <w:gridCol w:w="1025"/>
        <w:gridCol w:w="1640"/>
        <w:gridCol w:w="1036"/>
      </w:tblGrid>
      <w:tr w:rsidR="00AF72C0" w14:paraId="37891077" w14:textId="77777777" w:rsidTr="001C33BF">
        <w:trPr>
          <w:trHeight w:val="582"/>
        </w:trPr>
        <w:tc>
          <w:tcPr>
            <w:tcW w:w="3696" w:type="dxa"/>
            <w:vAlign w:val="bottom"/>
          </w:tcPr>
          <w:p w14:paraId="1CAB4B99" w14:textId="77777777" w:rsidR="00AF72C0" w:rsidRDefault="00AF72C0" w:rsidP="001C33BF"/>
        </w:tc>
        <w:tc>
          <w:tcPr>
            <w:tcW w:w="1025" w:type="dxa"/>
            <w:vAlign w:val="center"/>
          </w:tcPr>
          <w:p w14:paraId="727FF689" w14:textId="77777777" w:rsidR="00AF72C0" w:rsidRDefault="00AF72C0" w:rsidP="001C33BF">
            <w:pPr>
              <w:jc w:val="center"/>
            </w:pPr>
            <w:r>
              <w:rPr>
                <w:rFonts w:ascii="Calibri" w:eastAsia="Times New Roman" w:hAnsi="Calibri" w:cs="Calibri"/>
                <w:b/>
                <w:color w:val="000000"/>
                <w:lang w:eastAsia="en-GB"/>
              </w:rPr>
              <w:t>Coal</w:t>
            </w:r>
          </w:p>
        </w:tc>
        <w:tc>
          <w:tcPr>
            <w:tcW w:w="1640" w:type="dxa"/>
            <w:vAlign w:val="center"/>
          </w:tcPr>
          <w:p w14:paraId="3221CA53" w14:textId="77777777" w:rsidR="00AF72C0" w:rsidRDefault="00AF72C0" w:rsidP="001C33BF">
            <w:pPr>
              <w:jc w:val="center"/>
            </w:pPr>
            <w:r>
              <w:rPr>
                <w:rFonts w:ascii="Calibri" w:eastAsia="Times New Roman" w:hAnsi="Calibri" w:cs="Calibri"/>
                <w:b/>
                <w:color w:val="000000"/>
                <w:lang w:eastAsia="en-GB"/>
              </w:rPr>
              <w:t>Improvement ratio</w:t>
            </w:r>
          </w:p>
        </w:tc>
        <w:tc>
          <w:tcPr>
            <w:tcW w:w="1036" w:type="dxa"/>
            <w:vAlign w:val="center"/>
          </w:tcPr>
          <w:p w14:paraId="555BA300" w14:textId="77777777" w:rsidR="00AF72C0" w:rsidRDefault="00AF72C0" w:rsidP="001C33BF">
            <w:pPr>
              <w:jc w:val="center"/>
            </w:pPr>
            <w:r>
              <w:rPr>
                <w:rFonts w:ascii="Calibri" w:eastAsia="Times New Roman" w:hAnsi="Calibri" w:cs="Calibri"/>
                <w:b/>
                <w:color w:val="000000"/>
                <w:lang w:eastAsia="en-GB"/>
              </w:rPr>
              <w:t>Gas</w:t>
            </w:r>
          </w:p>
        </w:tc>
      </w:tr>
      <w:tr w:rsidR="00AF72C0" w14:paraId="0EC12185" w14:textId="77777777" w:rsidTr="001C33BF">
        <w:trPr>
          <w:trHeight w:val="299"/>
        </w:trPr>
        <w:tc>
          <w:tcPr>
            <w:tcW w:w="3696" w:type="dxa"/>
            <w:vAlign w:val="center"/>
          </w:tcPr>
          <w:p w14:paraId="20497A6D" w14:textId="77777777" w:rsidR="00AF72C0" w:rsidRDefault="00AF72C0" w:rsidP="001C33BF">
            <w:r>
              <w:rPr>
                <w:rFonts w:ascii="Calibri" w:eastAsia="Times New Roman" w:hAnsi="Calibri" w:cs="Calibri"/>
                <w:color w:val="000000"/>
                <w:lang w:eastAsia="en-GB"/>
              </w:rPr>
              <w:t>MWh/dwelling</w:t>
            </w:r>
          </w:p>
        </w:tc>
        <w:tc>
          <w:tcPr>
            <w:tcW w:w="1025" w:type="dxa"/>
            <w:vAlign w:val="center"/>
          </w:tcPr>
          <w:p w14:paraId="3DEA6F3B" w14:textId="77777777" w:rsidR="00AF72C0" w:rsidRDefault="00AF72C0" w:rsidP="001C33BF">
            <w:pPr>
              <w:jc w:val="center"/>
            </w:pPr>
            <w:r>
              <w:rPr>
                <w:rFonts w:ascii="Calibri" w:eastAsia="Times New Roman" w:hAnsi="Calibri" w:cs="Calibri"/>
                <w:b/>
                <w:color w:val="000000"/>
                <w:lang w:eastAsia="en-GB"/>
              </w:rPr>
              <w:t>13.30</w:t>
            </w:r>
          </w:p>
        </w:tc>
        <w:tc>
          <w:tcPr>
            <w:tcW w:w="1640" w:type="dxa"/>
            <w:vAlign w:val="center"/>
          </w:tcPr>
          <w:p w14:paraId="65B9F6C9" w14:textId="77777777" w:rsidR="00AF72C0" w:rsidRDefault="00AF72C0" w:rsidP="001C33BF">
            <w:pPr>
              <w:jc w:val="center"/>
            </w:pPr>
            <w:r>
              <w:rPr>
                <w:rFonts w:ascii="Calibri" w:eastAsia="Times New Roman" w:hAnsi="Calibri" w:cs="Calibri"/>
                <w:b/>
                <w:color w:val="000000"/>
                <w:lang w:eastAsia="en-GB"/>
              </w:rPr>
              <w:t>1.03</w:t>
            </w:r>
          </w:p>
        </w:tc>
        <w:tc>
          <w:tcPr>
            <w:tcW w:w="1036" w:type="dxa"/>
            <w:vAlign w:val="center"/>
          </w:tcPr>
          <w:p w14:paraId="2A3D5A62" w14:textId="77777777" w:rsidR="00AF72C0" w:rsidRDefault="00AF72C0" w:rsidP="001C33BF">
            <w:pPr>
              <w:jc w:val="center"/>
            </w:pPr>
            <w:r>
              <w:rPr>
                <w:rFonts w:ascii="Calibri" w:eastAsia="Times New Roman" w:hAnsi="Calibri" w:cs="Calibri"/>
                <w:b/>
                <w:color w:val="000000"/>
                <w:lang w:eastAsia="en-GB"/>
              </w:rPr>
              <w:t>12.92</w:t>
            </w:r>
          </w:p>
        </w:tc>
      </w:tr>
      <w:tr w:rsidR="00AF72C0" w14:paraId="2B7E8B11" w14:textId="77777777" w:rsidTr="001C33BF">
        <w:trPr>
          <w:trHeight w:val="282"/>
        </w:trPr>
        <w:tc>
          <w:tcPr>
            <w:tcW w:w="3696" w:type="dxa"/>
            <w:vAlign w:val="center"/>
          </w:tcPr>
          <w:p w14:paraId="222F9C79" w14:textId="77777777" w:rsidR="00AF72C0" w:rsidRDefault="00AF72C0" w:rsidP="001C33BF">
            <w:r>
              <w:rPr>
                <w:rFonts w:ascii="Calibri" w:eastAsia="Times New Roman" w:hAnsi="Calibri" w:cs="Calibri"/>
                <w:color w:val="000000"/>
                <w:lang w:eastAsia="en-GB"/>
              </w:rPr>
              <w:t>MWh/person</w:t>
            </w:r>
          </w:p>
        </w:tc>
        <w:tc>
          <w:tcPr>
            <w:tcW w:w="1025" w:type="dxa"/>
            <w:vAlign w:val="center"/>
          </w:tcPr>
          <w:p w14:paraId="1792876E" w14:textId="77777777" w:rsidR="00AF72C0" w:rsidRDefault="00AF72C0" w:rsidP="001C33BF">
            <w:pPr>
              <w:jc w:val="center"/>
            </w:pPr>
            <w:r>
              <w:rPr>
                <w:rFonts w:ascii="Calibri" w:eastAsia="Times New Roman" w:hAnsi="Calibri" w:cs="Calibri"/>
                <w:b/>
                <w:color w:val="000000"/>
                <w:lang w:eastAsia="en-GB"/>
              </w:rPr>
              <w:t>4.43</w:t>
            </w:r>
          </w:p>
        </w:tc>
        <w:tc>
          <w:tcPr>
            <w:tcW w:w="1640" w:type="dxa"/>
            <w:vAlign w:val="center"/>
          </w:tcPr>
          <w:p w14:paraId="6B6246A6" w14:textId="6ADBD92E" w:rsidR="00AF72C0" w:rsidRDefault="00ED0EB4" w:rsidP="001C33BF">
            <w:pPr>
              <w:jc w:val="center"/>
            </w:pPr>
            <w:r>
              <w:rPr>
                <w:rFonts w:ascii="Calibri" w:eastAsia="Times New Roman" w:hAnsi="Calibri" w:cs="Calibri"/>
                <w:b/>
                <w:color w:val="000000"/>
                <w:lang w:eastAsia="en-GB"/>
              </w:rPr>
              <w:t>0.78</w:t>
            </w:r>
          </w:p>
        </w:tc>
        <w:tc>
          <w:tcPr>
            <w:tcW w:w="1036" w:type="dxa"/>
            <w:vAlign w:val="center"/>
          </w:tcPr>
          <w:p w14:paraId="343D3748" w14:textId="77777777" w:rsidR="00AF72C0" w:rsidRDefault="00AF72C0" w:rsidP="001C33BF">
            <w:pPr>
              <w:jc w:val="center"/>
            </w:pPr>
            <w:r>
              <w:rPr>
                <w:rFonts w:ascii="Calibri" w:eastAsia="Times New Roman" w:hAnsi="Calibri" w:cs="Calibri"/>
                <w:b/>
                <w:color w:val="000000"/>
                <w:lang w:eastAsia="en-GB"/>
              </w:rPr>
              <w:t>5.62</w:t>
            </w:r>
          </w:p>
        </w:tc>
      </w:tr>
      <w:tr w:rsidR="00AF72C0" w14:paraId="346EA5B5" w14:textId="77777777" w:rsidTr="001C33BF">
        <w:trPr>
          <w:trHeight w:val="299"/>
        </w:trPr>
        <w:tc>
          <w:tcPr>
            <w:tcW w:w="3696" w:type="dxa"/>
            <w:vAlign w:val="center"/>
          </w:tcPr>
          <w:p w14:paraId="30A9D0B6" w14:textId="77777777" w:rsidR="00AF72C0" w:rsidRDefault="00AF72C0" w:rsidP="001C33BF">
            <w:r>
              <w:rPr>
                <w:rFonts w:ascii="Calibri" w:eastAsia="Times New Roman" w:hAnsi="Calibri" w:cs="Calibri"/>
                <w:color w:val="000000"/>
                <w:lang w:eastAsia="en-GB"/>
              </w:rPr>
              <w:t>Emissions per dwelling, tCO2/y</w:t>
            </w:r>
          </w:p>
        </w:tc>
        <w:tc>
          <w:tcPr>
            <w:tcW w:w="1025" w:type="dxa"/>
            <w:vAlign w:val="center"/>
          </w:tcPr>
          <w:p w14:paraId="7DB89F2B" w14:textId="77777777" w:rsidR="00AF72C0" w:rsidRDefault="00AF72C0" w:rsidP="001C33BF">
            <w:pPr>
              <w:jc w:val="center"/>
            </w:pPr>
            <w:r>
              <w:rPr>
                <w:rFonts w:ascii="Calibri" w:eastAsia="Times New Roman" w:hAnsi="Calibri" w:cs="Calibri"/>
                <w:b/>
                <w:color w:val="000000"/>
                <w:lang w:eastAsia="en-GB"/>
              </w:rPr>
              <w:t>4.52</w:t>
            </w:r>
          </w:p>
        </w:tc>
        <w:tc>
          <w:tcPr>
            <w:tcW w:w="1640" w:type="dxa"/>
            <w:vAlign w:val="center"/>
          </w:tcPr>
          <w:p w14:paraId="2EBF38A5" w14:textId="77777777" w:rsidR="00AF72C0" w:rsidRDefault="00AF72C0" w:rsidP="001C33BF">
            <w:pPr>
              <w:jc w:val="center"/>
            </w:pPr>
            <w:r>
              <w:rPr>
                <w:rFonts w:ascii="Calibri" w:eastAsia="Times New Roman" w:hAnsi="Calibri" w:cs="Calibri"/>
                <w:b/>
                <w:color w:val="000000"/>
                <w:lang w:eastAsia="en-GB"/>
              </w:rPr>
              <w:t>1.75</w:t>
            </w:r>
          </w:p>
        </w:tc>
        <w:tc>
          <w:tcPr>
            <w:tcW w:w="1036" w:type="dxa"/>
            <w:vAlign w:val="center"/>
          </w:tcPr>
          <w:p w14:paraId="78ECEDE0" w14:textId="77777777" w:rsidR="00AF72C0" w:rsidRDefault="00AF72C0" w:rsidP="001C33BF">
            <w:pPr>
              <w:jc w:val="center"/>
            </w:pPr>
            <w:r>
              <w:rPr>
                <w:rFonts w:ascii="Calibri" w:eastAsia="Times New Roman" w:hAnsi="Calibri" w:cs="Calibri"/>
                <w:b/>
                <w:color w:val="000000"/>
                <w:lang w:eastAsia="en-GB"/>
              </w:rPr>
              <w:t>2.58</w:t>
            </w:r>
          </w:p>
        </w:tc>
      </w:tr>
      <w:tr w:rsidR="00AF72C0" w14:paraId="5CF741D7" w14:textId="77777777" w:rsidTr="001C33BF">
        <w:trPr>
          <w:trHeight w:val="282"/>
        </w:trPr>
        <w:tc>
          <w:tcPr>
            <w:tcW w:w="3696" w:type="dxa"/>
            <w:vAlign w:val="center"/>
          </w:tcPr>
          <w:p w14:paraId="13D7E9FF" w14:textId="77777777" w:rsidR="00AF72C0" w:rsidRDefault="00AF72C0" w:rsidP="001C33BF">
            <w:r>
              <w:rPr>
                <w:rFonts w:ascii="Calibri" w:eastAsia="Times New Roman" w:hAnsi="Calibri" w:cs="Calibri"/>
                <w:color w:val="000000"/>
                <w:lang w:eastAsia="en-GB"/>
              </w:rPr>
              <w:t>Emissions per person, tCO2/y</w:t>
            </w:r>
          </w:p>
        </w:tc>
        <w:tc>
          <w:tcPr>
            <w:tcW w:w="1025" w:type="dxa"/>
            <w:vAlign w:val="center"/>
          </w:tcPr>
          <w:p w14:paraId="5D389BEC" w14:textId="77777777" w:rsidR="00AF72C0" w:rsidRDefault="00AF72C0" w:rsidP="001C33BF">
            <w:pPr>
              <w:jc w:val="center"/>
            </w:pPr>
            <w:r>
              <w:rPr>
                <w:rFonts w:ascii="Calibri" w:eastAsia="Times New Roman" w:hAnsi="Calibri" w:cs="Calibri"/>
                <w:b/>
                <w:color w:val="000000"/>
                <w:lang w:eastAsia="en-GB"/>
              </w:rPr>
              <w:t>1.55</w:t>
            </w:r>
          </w:p>
        </w:tc>
        <w:tc>
          <w:tcPr>
            <w:tcW w:w="1640" w:type="dxa"/>
            <w:vAlign w:val="center"/>
          </w:tcPr>
          <w:p w14:paraId="5FC2A717" w14:textId="77777777" w:rsidR="00AF72C0" w:rsidRDefault="00AF72C0" w:rsidP="001C33BF">
            <w:pPr>
              <w:jc w:val="center"/>
            </w:pPr>
            <w:r>
              <w:rPr>
                <w:rFonts w:ascii="Calibri" w:eastAsia="Times New Roman" w:hAnsi="Calibri" w:cs="Calibri"/>
                <w:b/>
                <w:color w:val="000000"/>
                <w:lang w:eastAsia="en-GB"/>
              </w:rPr>
              <w:t>1.38</w:t>
            </w:r>
          </w:p>
        </w:tc>
        <w:tc>
          <w:tcPr>
            <w:tcW w:w="1036" w:type="dxa"/>
            <w:vAlign w:val="center"/>
          </w:tcPr>
          <w:p w14:paraId="49910EF2" w14:textId="77777777" w:rsidR="00AF72C0" w:rsidRDefault="00AF72C0" w:rsidP="001C33BF">
            <w:pPr>
              <w:jc w:val="center"/>
            </w:pPr>
            <w:r>
              <w:rPr>
                <w:rFonts w:ascii="Calibri" w:eastAsia="Times New Roman" w:hAnsi="Calibri" w:cs="Calibri"/>
                <w:b/>
                <w:color w:val="000000"/>
                <w:lang w:eastAsia="en-GB"/>
              </w:rPr>
              <w:t>1.12</w:t>
            </w:r>
          </w:p>
        </w:tc>
      </w:tr>
      <w:tr w:rsidR="00AF72C0" w14:paraId="517FBD17" w14:textId="77777777" w:rsidTr="001C33BF">
        <w:trPr>
          <w:trHeight w:val="582"/>
        </w:trPr>
        <w:tc>
          <w:tcPr>
            <w:tcW w:w="3696" w:type="dxa"/>
            <w:vAlign w:val="center"/>
          </w:tcPr>
          <w:p w14:paraId="14A5AC7A" w14:textId="208BA33F" w:rsidR="00AF72C0" w:rsidRDefault="00AF72C0" w:rsidP="001C33BF">
            <w:pPr>
              <w:rPr>
                <w:rFonts w:ascii="Calibri" w:eastAsia="Times New Roman" w:hAnsi="Calibri" w:cs="Calibri"/>
                <w:color w:val="000000"/>
                <w:lang w:eastAsia="en-GB"/>
              </w:rPr>
            </w:pPr>
            <w:r>
              <w:t xml:space="preserve">Emissions per </w:t>
            </w:r>
            <w:r w:rsidR="006D3E8F">
              <w:t xml:space="preserve">heating </w:t>
            </w:r>
            <w:r>
              <w:t>kWh delivered, kgCO2e/kWh</w:t>
            </w:r>
            <w:r w:rsidR="0099170E">
              <w:t xml:space="preserve"> 1970</w:t>
            </w:r>
          </w:p>
        </w:tc>
        <w:tc>
          <w:tcPr>
            <w:tcW w:w="1025" w:type="dxa"/>
            <w:vAlign w:val="center"/>
          </w:tcPr>
          <w:p w14:paraId="32D66FDB" w14:textId="40B9689F" w:rsidR="00AF72C0" w:rsidRDefault="00AF72C0" w:rsidP="001C33BF">
            <w:pPr>
              <w:jc w:val="center"/>
              <w:rPr>
                <w:rFonts w:ascii="Calibri" w:eastAsia="Times New Roman" w:hAnsi="Calibri" w:cs="Calibri"/>
                <w:b/>
                <w:color w:val="000000"/>
                <w:lang w:eastAsia="en-GB"/>
              </w:rPr>
            </w:pPr>
            <w:r w:rsidRPr="00AA085F">
              <w:rPr>
                <w:b/>
              </w:rPr>
              <w:t>2.</w:t>
            </w:r>
            <w:r w:rsidR="00583BCC">
              <w:rPr>
                <w:b/>
              </w:rPr>
              <w:t>42</w:t>
            </w:r>
          </w:p>
        </w:tc>
        <w:tc>
          <w:tcPr>
            <w:tcW w:w="1640" w:type="dxa"/>
            <w:vAlign w:val="center"/>
          </w:tcPr>
          <w:p w14:paraId="678DEC7D" w14:textId="28C91B72" w:rsidR="00AF72C0" w:rsidRDefault="00583BCC" w:rsidP="001C33BF">
            <w:pPr>
              <w:jc w:val="center"/>
              <w:rPr>
                <w:rFonts w:ascii="Calibri" w:eastAsia="Times New Roman" w:hAnsi="Calibri" w:cs="Calibri"/>
                <w:b/>
                <w:color w:val="000000"/>
                <w:lang w:eastAsia="en-GB"/>
              </w:rPr>
            </w:pPr>
            <w:r>
              <w:rPr>
                <w:b/>
              </w:rPr>
              <w:t>8.3</w:t>
            </w:r>
          </w:p>
        </w:tc>
        <w:tc>
          <w:tcPr>
            <w:tcW w:w="1036" w:type="dxa"/>
            <w:vAlign w:val="center"/>
          </w:tcPr>
          <w:p w14:paraId="4AB65FA3" w14:textId="3293DCBC" w:rsidR="00AF72C0" w:rsidRDefault="00AF72C0" w:rsidP="001C33BF">
            <w:pPr>
              <w:jc w:val="center"/>
              <w:rPr>
                <w:rFonts w:ascii="Calibri" w:eastAsia="Times New Roman" w:hAnsi="Calibri" w:cs="Calibri"/>
                <w:b/>
                <w:color w:val="000000"/>
                <w:lang w:eastAsia="en-GB"/>
              </w:rPr>
            </w:pPr>
            <w:r w:rsidRPr="00AA085F">
              <w:rPr>
                <w:b/>
              </w:rPr>
              <w:t>0.2</w:t>
            </w:r>
            <w:r w:rsidR="00583BCC">
              <w:rPr>
                <w:b/>
              </w:rPr>
              <w:t>9</w:t>
            </w:r>
          </w:p>
        </w:tc>
      </w:tr>
      <w:tr w:rsidR="00583BCC" w14:paraId="32C2979C" w14:textId="77777777" w:rsidTr="001C33BF">
        <w:trPr>
          <w:trHeight w:val="582"/>
        </w:trPr>
        <w:tc>
          <w:tcPr>
            <w:tcW w:w="3696" w:type="dxa"/>
            <w:vAlign w:val="center"/>
          </w:tcPr>
          <w:p w14:paraId="1BB4011B" w14:textId="28E18801" w:rsidR="00583BCC" w:rsidRDefault="00583BCC" w:rsidP="001C33BF">
            <w:r>
              <w:t>Emissions/unit heating 2010</w:t>
            </w:r>
          </w:p>
        </w:tc>
        <w:tc>
          <w:tcPr>
            <w:tcW w:w="1025" w:type="dxa"/>
            <w:vAlign w:val="center"/>
          </w:tcPr>
          <w:p w14:paraId="639B3C47" w14:textId="7F5474D2" w:rsidR="00583BCC" w:rsidRPr="00AA085F" w:rsidRDefault="00583BCC" w:rsidP="001C33BF">
            <w:pPr>
              <w:jc w:val="center"/>
              <w:rPr>
                <w:b/>
              </w:rPr>
            </w:pPr>
            <w:r>
              <w:rPr>
                <w:b/>
              </w:rPr>
              <w:t>3.4</w:t>
            </w:r>
          </w:p>
        </w:tc>
        <w:tc>
          <w:tcPr>
            <w:tcW w:w="1640" w:type="dxa"/>
            <w:vAlign w:val="center"/>
          </w:tcPr>
          <w:p w14:paraId="556456F8" w14:textId="4CD1A721" w:rsidR="00583BCC" w:rsidRDefault="00583BCC" w:rsidP="001C33BF">
            <w:pPr>
              <w:jc w:val="center"/>
              <w:rPr>
                <w:b/>
              </w:rPr>
            </w:pPr>
            <w:r>
              <w:rPr>
                <w:b/>
              </w:rPr>
              <w:t>14.5</w:t>
            </w:r>
          </w:p>
        </w:tc>
        <w:tc>
          <w:tcPr>
            <w:tcW w:w="1036" w:type="dxa"/>
            <w:vAlign w:val="center"/>
          </w:tcPr>
          <w:p w14:paraId="05694682" w14:textId="28E8DB12" w:rsidR="00583BCC" w:rsidRPr="00AA085F" w:rsidRDefault="00583BCC" w:rsidP="001C33BF">
            <w:pPr>
              <w:jc w:val="center"/>
              <w:rPr>
                <w:b/>
              </w:rPr>
            </w:pPr>
            <w:r>
              <w:rPr>
                <w:b/>
              </w:rPr>
              <w:t>0.24</w:t>
            </w:r>
          </w:p>
        </w:tc>
      </w:tr>
    </w:tbl>
    <w:tbl>
      <w:tblPr>
        <w:tblW w:w="9752" w:type="dxa"/>
        <w:tblLook w:val="04A0" w:firstRow="1" w:lastRow="0" w:firstColumn="1" w:lastColumn="0" w:noHBand="0" w:noVBand="1"/>
      </w:tblPr>
      <w:tblGrid>
        <w:gridCol w:w="6846"/>
        <w:gridCol w:w="960"/>
        <w:gridCol w:w="960"/>
        <w:gridCol w:w="986"/>
      </w:tblGrid>
      <w:tr w:rsidR="00AF72C0" w:rsidRPr="00BA120C" w14:paraId="2D6C25CC" w14:textId="77777777" w:rsidTr="00AF72C0">
        <w:trPr>
          <w:trHeight w:val="300"/>
        </w:trPr>
        <w:tc>
          <w:tcPr>
            <w:tcW w:w="6846" w:type="dxa"/>
            <w:tcBorders>
              <w:top w:val="nil"/>
              <w:left w:val="nil"/>
              <w:bottom w:val="nil"/>
              <w:right w:val="nil"/>
            </w:tcBorders>
            <w:shd w:val="clear" w:color="auto" w:fill="auto"/>
            <w:noWrap/>
            <w:vAlign w:val="bottom"/>
          </w:tcPr>
          <w:p w14:paraId="6A423560" w14:textId="59252A2E" w:rsidR="00BA120C" w:rsidRPr="00BA120C" w:rsidRDefault="00BA120C" w:rsidP="00BA120C">
            <w:pPr>
              <w:spacing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09068E94" w14:textId="03AE84B1"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60" w:type="dxa"/>
            <w:tcBorders>
              <w:top w:val="nil"/>
              <w:left w:val="nil"/>
              <w:bottom w:val="nil"/>
              <w:right w:val="nil"/>
            </w:tcBorders>
            <w:shd w:val="clear" w:color="auto" w:fill="auto"/>
            <w:noWrap/>
            <w:vAlign w:val="bottom"/>
          </w:tcPr>
          <w:p w14:paraId="5B986A0D" w14:textId="77777777"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86" w:type="dxa"/>
            <w:tcBorders>
              <w:top w:val="nil"/>
              <w:left w:val="nil"/>
              <w:bottom w:val="nil"/>
              <w:right w:val="nil"/>
            </w:tcBorders>
            <w:shd w:val="clear" w:color="auto" w:fill="auto"/>
            <w:noWrap/>
            <w:vAlign w:val="bottom"/>
          </w:tcPr>
          <w:p w14:paraId="01296DF6" w14:textId="74C34EAF"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r>
      <w:tr w:rsidR="00AF72C0" w:rsidRPr="00BA120C" w14:paraId="16B94C27" w14:textId="77777777" w:rsidTr="00AF72C0">
        <w:trPr>
          <w:trHeight w:val="300"/>
        </w:trPr>
        <w:tc>
          <w:tcPr>
            <w:tcW w:w="6846" w:type="dxa"/>
            <w:tcBorders>
              <w:top w:val="nil"/>
              <w:left w:val="nil"/>
              <w:bottom w:val="nil"/>
              <w:right w:val="nil"/>
            </w:tcBorders>
            <w:shd w:val="clear" w:color="auto" w:fill="auto"/>
            <w:noWrap/>
            <w:vAlign w:val="bottom"/>
          </w:tcPr>
          <w:p w14:paraId="28F2DC21" w14:textId="10608EC2" w:rsidR="00BA120C" w:rsidRPr="00BA120C" w:rsidRDefault="00BA120C" w:rsidP="00BA120C">
            <w:pPr>
              <w:spacing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07F394E1" w14:textId="24168E5F"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60" w:type="dxa"/>
            <w:tcBorders>
              <w:top w:val="nil"/>
              <w:left w:val="nil"/>
              <w:bottom w:val="nil"/>
              <w:right w:val="nil"/>
            </w:tcBorders>
            <w:shd w:val="clear" w:color="auto" w:fill="auto"/>
            <w:noWrap/>
            <w:vAlign w:val="bottom"/>
          </w:tcPr>
          <w:p w14:paraId="26A31E05" w14:textId="77777777"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86" w:type="dxa"/>
            <w:tcBorders>
              <w:top w:val="nil"/>
              <w:left w:val="nil"/>
              <w:bottom w:val="nil"/>
              <w:right w:val="nil"/>
            </w:tcBorders>
            <w:shd w:val="clear" w:color="auto" w:fill="auto"/>
            <w:noWrap/>
            <w:vAlign w:val="bottom"/>
          </w:tcPr>
          <w:p w14:paraId="5AC37055" w14:textId="01D0032D"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r>
      <w:tr w:rsidR="00AF72C0" w:rsidRPr="00BA120C" w14:paraId="3D871462" w14:textId="77777777" w:rsidTr="00AF72C0">
        <w:trPr>
          <w:trHeight w:val="300"/>
        </w:trPr>
        <w:tc>
          <w:tcPr>
            <w:tcW w:w="6846" w:type="dxa"/>
            <w:tcBorders>
              <w:top w:val="nil"/>
              <w:left w:val="nil"/>
              <w:bottom w:val="nil"/>
              <w:right w:val="nil"/>
            </w:tcBorders>
            <w:shd w:val="clear" w:color="auto" w:fill="auto"/>
            <w:noWrap/>
            <w:vAlign w:val="bottom"/>
          </w:tcPr>
          <w:p w14:paraId="5DAB391A" w14:textId="1C9625B4" w:rsidR="00BA120C" w:rsidRPr="00BA120C" w:rsidRDefault="00BA120C" w:rsidP="00BA120C">
            <w:pPr>
              <w:spacing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0CBA787C" w14:textId="46ED6706"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60" w:type="dxa"/>
            <w:tcBorders>
              <w:top w:val="nil"/>
              <w:left w:val="nil"/>
              <w:bottom w:val="nil"/>
              <w:right w:val="nil"/>
            </w:tcBorders>
            <w:shd w:val="clear" w:color="auto" w:fill="auto"/>
            <w:noWrap/>
            <w:vAlign w:val="bottom"/>
          </w:tcPr>
          <w:p w14:paraId="68ACDEF2" w14:textId="77777777"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86" w:type="dxa"/>
            <w:tcBorders>
              <w:top w:val="nil"/>
              <w:left w:val="nil"/>
              <w:bottom w:val="nil"/>
              <w:right w:val="nil"/>
            </w:tcBorders>
            <w:shd w:val="clear" w:color="auto" w:fill="auto"/>
            <w:noWrap/>
            <w:vAlign w:val="bottom"/>
          </w:tcPr>
          <w:p w14:paraId="4AF1E911" w14:textId="63517474"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r>
      <w:tr w:rsidR="00AF72C0" w:rsidRPr="00BA120C" w14:paraId="5D913B62" w14:textId="77777777" w:rsidTr="00AF72C0">
        <w:trPr>
          <w:trHeight w:val="300"/>
        </w:trPr>
        <w:tc>
          <w:tcPr>
            <w:tcW w:w="6846" w:type="dxa"/>
            <w:tcBorders>
              <w:top w:val="nil"/>
              <w:left w:val="nil"/>
              <w:bottom w:val="nil"/>
              <w:right w:val="nil"/>
            </w:tcBorders>
            <w:shd w:val="clear" w:color="auto" w:fill="auto"/>
            <w:noWrap/>
            <w:vAlign w:val="bottom"/>
          </w:tcPr>
          <w:p w14:paraId="0225B9F7" w14:textId="7DACBC4C" w:rsidR="00BA120C" w:rsidRPr="00BA120C" w:rsidRDefault="00BA120C" w:rsidP="00BA120C">
            <w:pPr>
              <w:spacing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7C5BDB58" w14:textId="41B2A690"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60" w:type="dxa"/>
            <w:tcBorders>
              <w:top w:val="nil"/>
              <w:left w:val="nil"/>
              <w:bottom w:val="nil"/>
              <w:right w:val="nil"/>
            </w:tcBorders>
            <w:shd w:val="clear" w:color="auto" w:fill="auto"/>
            <w:noWrap/>
            <w:vAlign w:val="bottom"/>
          </w:tcPr>
          <w:p w14:paraId="6AFABC06" w14:textId="77777777"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c>
          <w:tcPr>
            <w:tcW w:w="986" w:type="dxa"/>
            <w:tcBorders>
              <w:top w:val="nil"/>
              <w:left w:val="nil"/>
              <w:bottom w:val="nil"/>
              <w:right w:val="nil"/>
            </w:tcBorders>
            <w:shd w:val="clear" w:color="auto" w:fill="auto"/>
            <w:noWrap/>
            <w:vAlign w:val="bottom"/>
          </w:tcPr>
          <w:p w14:paraId="300C2918" w14:textId="473119AC" w:rsidR="00BA120C" w:rsidRPr="001B1A04" w:rsidRDefault="00BA120C" w:rsidP="00BA120C">
            <w:pPr>
              <w:spacing w:line="240" w:lineRule="auto"/>
              <w:jc w:val="right"/>
              <w:rPr>
                <w:rFonts w:asciiTheme="majorHAnsi" w:eastAsia="Times New Roman" w:hAnsiTheme="majorHAnsi" w:cstheme="majorHAnsi"/>
                <w:b/>
                <w:color w:val="000000"/>
                <w:lang w:eastAsia="en-GB"/>
              </w:rPr>
            </w:pPr>
          </w:p>
        </w:tc>
      </w:tr>
    </w:tbl>
    <w:p w14:paraId="49E6C04C" w14:textId="476D8D4B" w:rsidR="00CA033C" w:rsidRDefault="00E824B9">
      <w:r>
        <w:t>The normal ‘functional unit’ used by economists and perhaps politicians would be the final one, emissions per useful unit of energy. Measured in this way</w:t>
      </w:r>
      <w:r w:rsidR="001B1A04">
        <w:t xml:space="preserve"> the gas system is </w:t>
      </w:r>
      <w:r w:rsidR="00AA6269">
        <w:t>8 to 14</w:t>
      </w:r>
      <w:r w:rsidR="001B1A04">
        <w:t xml:space="preserve"> times </w:t>
      </w:r>
      <w:r w:rsidR="00AA6269">
        <w:t>‘</w:t>
      </w:r>
      <w:r w:rsidR="001B1A04">
        <w:t>better</w:t>
      </w:r>
      <w:r w:rsidR="00AA6269">
        <w:t>’</w:t>
      </w:r>
      <w:r w:rsidR="001B1A04">
        <w:t xml:space="preserve"> than the coal system.</w:t>
      </w:r>
      <w:r>
        <w:t xml:space="preserve"> </w:t>
      </w:r>
      <w:r w:rsidR="00CA033C">
        <w:t>This supports the claim that the switch from coal to gas in the UK was one of the most significant</w:t>
      </w:r>
      <w:r w:rsidR="00331E68">
        <w:t xml:space="preserve"> environmental advances. However, it could be argued that the great increase in efficiency was ‘used’ merely to improve comfort standards, not to reduce emissions, which </w:t>
      </w:r>
      <w:r>
        <w:t xml:space="preserve">were </w:t>
      </w:r>
      <w:r w:rsidR="00331E68">
        <w:t>only about 30% lower per person in 2010 relative to 1970.</w:t>
      </w:r>
      <w:r w:rsidR="00CA033C">
        <w:t xml:space="preserve"> </w:t>
      </w:r>
      <w:r w:rsidR="00331E68">
        <w:t>This is still significant, but not as dramatic as the</w:t>
      </w:r>
      <w:r w:rsidR="00FF14E2">
        <w:t xml:space="preserve"> 8</w:t>
      </w:r>
      <w:r>
        <w:t>3</w:t>
      </w:r>
      <w:r w:rsidR="00FF14E2">
        <w:t>0% based on the</w:t>
      </w:r>
      <w:r w:rsidR="00331E68">
        <w:t xml:space="preserve"> ‘functional unit’</w:t>
      </w:r>
      <w:r w:rsidR="004F79B0">
        <w:t>.</w:t>
      </w:r>
      <w:r w:rsidR="000D3225" w:rsidRPr="000D3225">
        <w:rPr>
          <w:rStyle w:val="FootnoteReference"/>
        </w:rPr>
        <w:t xml:space="preserve"> </w:t>
      </w:r>
      <w:r w:rsidR="000D3225">
        <w:rPr>
          <w:rStyle w:val="FootnoteReference"/>
        </w:rPr>
        <w:footnoteReference w:id="4"/>
      </w:r>
    </w:p>
    <w:p w14:paraId="17402A67" w14:textId="4B2E2DBD" w:rsidR="00E824B9" w:rsidRDefault="00583BCC">
      <w:r>
        <w:t xml:space="preserve">And it could easily be asked, did all this extra heating create greater comfort, or improve the quality of life? Surely a bit, </w:t>
      </w:r>
      <w:r w:rsidR="00AA6269">
        <w:t>and we wouldn’t want to go back. B</w:t>
      </w:r>
      <w:r>
        <w:t>ut not 850%</w:t>
      </w:r>
      <w:r w:rsidR="00AA6269">
        <w:t>!</w:t>
      </w:r>
    </w:p>
    <w:p w14:paraId="32CE49F7" w14:textId="77777777" w:rsidR="00583BCC" w:rsidRDefault="00583BCC"/>
    <w:p w14:paraId="17C257C5" w14:textId="0A188608" w:rsidR="00E824B9" w:rsidRDefault="00E824B9">
      <w:proofErr w:type="gramStart"/>
      <w:r>
        <w:t>So</w:t>
      </w:r>
      <w:proofErr w:type="gramEnd"/>
      <w:r>
        <w:t xml:space="preserve"> the student was right to raise an eyebrow. It depends what you are measuring and how.</w:t>
      </w:r>
    </w:p>
    <w:p w14:paraId="5FBB00BE" w14:textId="4F03C549" w:rsidR="00AF72C0" w:rsidRDefault="00AF72C0"/>
    <w:p w14:paraId="5EB45B22" w14:textId="10F2E099" w:rsidR="00AF72C0" w:rsidRDefault="00AF72C0"/>
    <w:p w14:paraId="115CB449" w14:textId="051387B2" w:rsidR="004F79B0" w:rsidRDefault="004F79B0"/>
    <w:sectPr w:rsidR="004F79B0" w:rsidSect="00AF72C0">
      <w:pgSz w:w="11906" w:h="16838"/>
      <w:pgMar w:top="85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6823" w14:textId="77777777" w:rsidR="00E60EEF" w:rsidRDefault="00E60EEF" w:rsidP="000424B9">
      <w:pPr>
        <w:spacing w:line="240" w:lineRule="auto"/>
      </w:pPr>
      <w:r>
        <w:separator/>
      </w:r>
    </w:p>
  </w:endnote>
  <w:endnote w:type="continuationSeparator" w:id="0">
    <w:p w14:paraId="050E4199" w14:textId="77777777" w:rsidR="00E60EEF" w:rsidRDefault="00E60EEF" w:rsidP="00042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E773" w14:textId="77777777" w:rsidR="00E60EEF" w:rsidRDefault="00E60EEF" w:rsidP="000424B9">
      <w:pPr>
        <w:spacing w:line="240" w:lineRule="auto"/>
      </w:pPr>
      <w:r>
        <w:separator/>
      </w:r>
    </w:p>
  </w:footnote>
  <w:footnote w:type="continuationSeparator" w:id="0">
    <w:p w14:paraId="360D41DC" w14:textId="77777777" w:rsidR="00E60EEF" w:rsidRDefault="00E60EEF" w:rsidP="000424B9">
      <w:pPr>
        <w:spacing w:line="240" w:lineRule="auto"/>
      </w:pPr>
      <w:r>
        <w:continuationSeparator/>
      </w:r>
    </w:p>
  </w:footnote>
  <w:footnote w:id="1">
    <w:p w14:paraId="18B1FE58" w14:textId="77777777" w:rsidR="00BA120C" w:rsidRDefault="00BA120C" w:rsidP="000424B9">
      <w:r>
        <w:rPr>
          <w:rStyle w:val="FootnoteReference"/>
        </w:rPr>
        <w:footnoteRef/>
      </w:r>
      <w:r>
        <w:t xml:space="preserve"> Hermann Muthesius, </w:t>
      </w:r>
      <w:r w:rsidRPr="008E6941">
        <w:rPr>
          <w:i/>
        </w:rPr>
        <w:t>The English House</w:t>
      </w:r>
      <w:r>
        <w:t xml:space="preserve"> (Janet Seligman, Trans.), in: Dennis Sharpe (Ed.), Crosby Lockwood Staples, London, 1979, p. 17</w:t>
      </w:r>
    </w:p>
    <w:p w14:paraId="7F77367A" w14:textId="77777777" w:rsidR="00BA120C" w:rsidRDefault="00BA120C">
      <w:pPr>
        <w:pStyle w:val="FootnoteText"/>
      </w:pPr>
    </w:p>
  </w:footnote>
  <w:footnote w:id="2">
    <w:p w14:paraId="7DE73A5B" w14:textId="77777777" w:rsidR="00BA120C" w:rsidRDefault="00BA120C" w:rsidP="000424B9">
      <w:r>
        <w:rPr>
          <w:rStyle w:val="FootnoteReference"/>
        </w:rPr>
        <w:footnoteRef/>
      </w:r>
      <w:r>
        <w:t xml:space="preserve"> </w:t>
      </w:r>
      <w:proofErr w:type="spellStart"/>
      <w:proofErr w:type="gramStart"/>
      <w:r>
        <w:t>J.Utley</w:t>
      </w:r>
      <w:proofErr w:type="spellEnd"/>
      <w:proofErr w:type="gramEnd"/>
      <w:r>
        <w:t xml:space="preserve"> and L. </w:t>
      </w:r>
      <w:proofErr w:type="spellStart"/>
      <w:r>
        <w:t>Shorrock</w:t>
      </w:r>
      <w:proofErr w:type="spellEnd"/>
      <w:r>
        <w:t xml:space="preserve">, </w:t>
      </w:r>
      <w:r w:rsidRPr="008E6941">
        <w:rPr>
          <w:i/>
        </w:rPr>
        <w:t>Domestic Energy Fact File</w:t>
      </w:r>
      <w:r>
        <w:t xml:space="preserve">. BRE (2008)  </w:t>
      </w:r>
      <w:hyperlink r:id="rId1" w:history="1">
        <w:r w:rsidRPr="001E3958">
          <w:rPr>
            <w:rStyle w:val="Hyperlink"/>
          </w:rPr>
          <w:t>https://www.bre.co.uk/filelibrary/pdf/rpts/Fact_File_2008.pdf</w:t>
        </w:r>
      </w:hyperlink>
      <w:r>
        <w:t xml:space="preserve"> </w:t>
      </w:r>
    </w:p>
    <w:p w14:paraId="2AB69E1C" w14:textId="60EB8F08" w:rsidR="00BA120C" w:rsidRDefault="00BA120C">
      <w:pPr>
        <w:pStyle w:val="FootnoteText"/>
      </w:pPr>
    </w:p>
    <w:p w14:paraId="47DB1AF2" w14:textId="3BA5851D" w:rsidR="004617E1" w:rsidRDefault="004617E1">
      <w:pPr>
        <w:pStyle w:val="FootnoteText"/>
      </w:pPr>
    </w:p>
    <w:p w14:paraId="57F08326" w14:textId="77777777" w:rsidR="004617E1" w:rsidRDefault="004617E1">
      <w:pPr>
        <w:pStyle w:val="FootnoteText"/>
      </w:pPr>
    </w:p>
  </w:footnote>
  <w:footnote w:id="3">
    <w:p w14:paraId="6A5EB74C" w14:textId="36352F29" w:rsidR="00AF72C0" w:rsidRDefault="00AF72C0">
      <w:pPr>
        <w:pStyle w:val="FootnoteText"/>
      </w:pPr>
      <w:r>
        <w:rPr>
          <w:rStyle w:val="FootnoteReference"/>
        </w:rPr>
        <w:footnoteRef/>
      </w:r>
      <w:r>
        <w:t xml:space="preserve"> This is a coarse guesstimate. Open fires usually draw air from the room they are in. By 2010 there were many supplementary sources of heating in houses with coal fires, and an open fire would tend to abstract the warmed air and send it up the chimney. It is widely thought that they could actually achieve </w:t>
      </w:r>
      <w:r w:rsidRPr="00AF72C0">
        <w:rPr>
          <w:i/>
        </w:rPr>
        <w:t>negative</w:t>
      </w:r>
      <w:r>
        <w:t xml:space="preserve"> efficiencies. In view of this effect, I have modestly reduced the 14% reported in Ref 1.</w:t>
      </w:r>
    </w:p>
  </w:footnote>
  <w:footnote w:id="4">
    <w:p w14:paraId="48804C73" w14:textId="77777777" w:rsidR="000D3225" w:rsidRPr="00E824B9" w:rsidRDefault="000D3225" w:rsidP="000D3225">
      <w:pPr>
        <w:pStyle w:val="FootnoteText"/>
        <w:rPr>
          <w:rFonts w:cstheme="minorHAnsi"/>
          <w:sz w:val="18"/>
          <w:szCs w:val="18"/>
        </w:rPr>
      </w:pPr>
      <w:r>
        <w:rPr>
          <w:rStyle w:val="FootnoteReference"/>
        </w:rPr>
        <w:footnoteRef/>
      </w:r>
      <w:r>
        <w:t xml:space="preserve"> </w:t>
      </w:r>
      <w:r w:rsidRPr="00E824B9">
        <w:rPr>
          <w:sz w:val="18"/>
          <w:szCs w:val="18"/>
        </w:rPr>
        <w:t xml:space="preserve">A useful discussion of the social factors behind the switch from coal to gas is found in L. </w:t>
      </w:r>
      <w:proofErr w:type="spellStart"/>
      <w:r w:rsidRPr="00E824B9">
        <w:rPr>
          <w:sz w:val="18"/>
          <w:szCs w:val="18"/>
        </w:rPr>
        <w:t>Kuijer</w:t>
      </w:r>
      <w:proofErr w:type="spellEnd"/>
      <w:r w:rsidRPr="00E824B9">
        <w:rPr>
          <w:sz w:val="18"/>
          <w:szCs w:val="18"/>
        </w:rPr>
        <w:t xml:space="preserve"> and Matt Watson ‘That’s when we started using the living room’: Lessons from a local history of domestic heating in the United Kingdom.</w:t>
      </w:r>
      <w:r w:rsidRPr="00E824B9">
        <w:rPr>
          <w:rFonts w:ascii="Arial" w:eastAsia="Times New Roman" w:hAnsi="Arial" w:cs="Arial"/>
          <w:color w:val="505050"/>
          <w:sz w:val="18"/>
          <w:szCs w:val="18"/>
          <w:lang w:eastAsia="en-GB"/>
        </w:rPr>
        <w:t xml:space="preserve"> </w:t>
      </w:r>
      <w:r w:rsidRPr="00E824B9">
        <w:rPr>
          <w:rFonts w:ascii="Arial" w:eastAsia="Times New Roman" w:hAnsi="Arial" w:cs="Arial"/>
          <w:i/>
          <w:color w:val="505050"/>
          <w:sz w:val="18"/>
          <w:szCs w:val="18"/>
          <w:lang w:eastAsia="en-GB"/>
        </w:rPr>
        <w:t>Energy Research and Social Science</w:t>
      </w:r>
      <w:r w:rsidRPr="00E824B9">
        <w:rPr>
          <w:rFonts w:ascii="Arial" w:eastAsia="Times New Roman" w:hAnsi="Arial" w:cs="Arial"/>
          <w:color w:val="505050"/>
          <w:sz w:val="18"/>
          <w:szCs w:val="18"/>
          <w:lang w:eastAsia="en-GB"/>
        </w:rPr>
        <w:t xml:space="preserve">, </w:t>
      </w:r>
      <w:r w:rsidRPr="00E824B9">
        <w:rPr>
          <w:rFonts w:ascii="Arial" w:eastAsia="Times New Roman" w:hAnsi="Arial" w:cs="Arial"/>
          <w:b/>
          <w:color w:val="505050"/>
          <w:sz w:val="18"/>
          <w:szCs w:val="18"/>
          <w:lang w:eastAsia="en-GB"/>
        </w:rPr>
        <w:t>28</w:t>
      </w:r>
      <w:r w:rsidRPr="00E824B9">
        <w:rPr>
          <w:rFonts w:ascii="Arial" w:eastAsia="Times New Roman" w:hAnsi="Arial" w:cs="Arial"/>
          <w:color w:val="505050"/>
          <w:sz w:val="18"/>
          <w:szCs w:val="18"/>
          <w:lang w:eastAsia="en-GB"/>
        </w:rPr>
        <w:t xml:space="preserve">, 77 (2017). </w:t>
      </w:r>
      <w:r w:rsidRPr="00E824B9">
        <w:rPr>
          <w:rFonts w:eastAsia="Times New Roman" w:cstheme="minorHAnsi"/>
          <w:color w:val="505050"/>
          <w:sz w:val="18"/>
          <w:szCs w:val="18"/>
          <w:lang w:eastAsia="en-GB"/>
        </w:rPr>
        <w:t xml:space="preserve">This argues that although technological change facilitated increased energy consumption, it </w:t>
      </w:r>
      <w:proofErr w:type="spellStart"/>
      <w:r w:rsidRPr="00E824B9">
        <w:rPr>
          <w:rFonts w:eastAsia="Times New Roman" w:cstheme="minorHAnsi"/>
          <w:color w:val="505050"/>
          <w:sz w:val="18"/>
          <w:szCs w:val="18"/>
          <w:lang w:eastAsia="en-GB"/>
        </w:rPr>
        <w:t>it</w:t>
      </w:r>
      <w:proofErr w:type="spellEnd"/>
      <w:r w:rsidRPr="00E824B9">
        <w:rPr>
          <w:rFonts w:eastAsia="Times New Roman" w:cstheme="minorHAnsi"/>
          <w:color w:val="505050"/>
          <w:sz w:val="18"/>
          <w:szCs w:val="18"/>
          <w:lang w:eastAsia="en-GB"/>
        </w:rPr>
        <w:t xml:space="preserve"> did not drive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5E"/>
    <w:rsid w:val="000424B9"/>
    <w:rsid w:val="000672F9"/>
    <w:rsid w:val="000C58BA"/>
    <w:rsid w:val="000D3225"/>
    <w:rsid w:val="001B1A04"/>
    <w:rsid w:val="001C66A9"/>
    <w:rsid w:val="001C6F42"/>
    <w:rsid w:val="001F50A3"/>
    <w:rsid w:val="00246346"/>
    <w:rsid w:val="002A16F0"/>
    <w:rsid w:val="002B3B0E"/>
    <w:rsid w:val="00331E68"/>
    <w:rsid w:val="0033427C"/>
    <w:rsid w:val="00362EDD"/>
    <w:rsid w:val="003643A4"/>
    <w:rsid w:val="00385F9B"/>
    <w:rsid w:val="00397F15"/>
    <w:rsid w:val="003A14D9"/>
    <w:rsid w:val="0044749C"/>
    <w:rsid w:val="004617E1"/>
    <w:rsid w:val="004723EC"/>
    <w:rsid w:val="004F79B0"/>
    <w:rsid w:val="00576717"/>
    <w:rsid w:val="00583BCC"/>
    <w:rsid w:val="00626F52"/>
    <w:rsid w:val="00671AC6"/>
    <w:rsid w:val="00672BDE"/>
    <w:rsid w:val="006D3E8F"/>
    <w:rsid w:val="00720ED6"/>
    <w:rsid w:val="007657C0"/>
    <w:rsid w:val="007B69FF"/>
    <w:rsid w:val="008E6941"/>
    <w:rsid w:val="00970A62"/>
    <w:rsid w:val="0099170E"/>
    <w:rsid w:val="00A27020"/>
    <w:rsid w:val="00A673B0"/>
    <w:rsid w:val="00A9502A"/>
    <w:rsid w:val="00AA085F"/>
    <w:rsid w:val="00AA6269"/>
    <w:rsid w:val="00AF72C0"/>
    <w:rsid w:val="00B54AAC"/>
    <w:rsid w:val="00B62721"/>
    <w:rsid w:val="00B82BBE"/>
    <w:rsid w:val="00BA120C"/>
    <w:rsid w:val="00CA033C"/>
    <w:rsid w:val="00CF5676"/>
    <w:rsid w:val="00D6699C"/>
    <w:rsid w:val="00DC087D"/>
    <w:rsid w:val="00DD41B7"/>
    <w:rsid w:val="00DF11B0"/>
    <w:rsid w:val="00E1286F"/>
    <w:rsid w:val="00E60EEF"/>
    <w:rsid w:val="00E824B9"/>
    <w:rsid w:val="00EA0942"/>
    <w:rsid w:val="00ED0EB4"/>
    <w:rsid w:val="00F26528"/>
    <w:rsid w:val="00F52A5E"/>
    <w:rsid w:val="00FF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EB8C"/>
  <w15:chartTrackingRefBased/>
  <w15:docId w15:val="{3B6B86EB-D186-4FE0-84E7-1E2C9123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3B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A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4B9"/>
    <w:rPr>
      <w:color w:val="0563C1" w:themeColor="hyperlink"/>
      <w:u w:val="single"/>
    </w:rPr>
  </w:style>
  <w:style w:type="character" w:styleId="UnresolvedMention">
    <w:name w:val="Unresolved Mention"/>
    <w:basedOn w:val="DefaultParagraphFont"/>
    <w:uiPriority w:val="99"/>
    <w:semiHidden/>
    <w:unhideWhenUsed/>
    <w:rsid w:val="000424B9"/>
    <w:rPr>
      <w:color w:val="808080"/>
      <w:shd w:val="clear" w:color="auto" w:fill="E6E6E6"/>
    </w:rPr>
  </w:style>
  <w:style w:type="paragraph" w:styleId="FootnoteText">
    <w:name w:val="footnote text"/>
    <w:basedOn w:val="Normal"/>
    <w:link w:val="FootnoteTextChar"/>
    <w:uiPriority w:val="99"/>
    <w:semiHidden/>
    <w:unhideWhenUsed/>
    <w:rsid w:val="000424B9"/>
    <w:pPr>
      <w:spacing w:line="240" w:lineRule="auto"/>
    </w:pPr>
    <w:rPr>
      <w:sz w:val="20"/>
      <w:szCs w:val="20"/>
    </w:rPr>
  </w:style>
  <w:style w:type="character" w:customStyle="1" w:styleId="FootnoteTextChar">
    <w:name w:val="Footnote Text Char"/>
    <w:basedOn w:val="DefaultParagraphFont"/>
    <w:link w:val="FootnoteText"/>
    <w:uiPriority w:val="99"/>
    <w:semiHidden/>
    <w:rsid w:val="000424B9"/>
    <w:rPr>
      <w:sz w:val="20"/>
      <w:szCs w:val="20"/>
    </w:rPr>
  </w:style>
  <w:style w:type="character" w:styleId="FootnoteReference">
    <w:name w:val="footnote reference"/>
    <w:basedOn w:val="DefaultParagraphFont"/>
    <w:uiPriority w:val="99"/>
    <w:semiHidden/>
    <w:unhideWhenUsed/>
    <w:rsid w:val="000424B9"/>
    <w:rPr>
      <w:vertAlign w:val="superscript"/>
    </w:rPr>
  </w:style>
  <w:style w:type="character" w:customStyle="1" w:styleId="Heading2Char">
    <w:name w:val="Heading 2 Char"/>
    <w:basedOn w:val="DefaultParagraphFont"/>
    <w:link w:val="Heading2"/>
    <w:uiPriority w:val="9"/>
    <w:semiHidden/>
    <w:rsid w:val="002B3B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532">
      <w:bodyDiv w:val="1"/>
      <w:marLeft w:val="0"/>
      <w:marRight w:val="0"/>
      <w:marTop w:val="0"/>
      <w:marBottom w:val="0"/>
      <w:divBdr>
        <w:top w:val="none" w:sz="0" w:space="0" w:color="auto"/>
        <w:left w:val="none" w:sz="0" w:space="0" w:color="auto"/>
        <w:bottom w:val="none" w:sz="0" w:space="0" w:color="auto"/>
        <w:right w:val="none" w:sz="0" w:space="0" w:color="auto"/>
      </w:divBdr>
    </w:div>
    <w:div w:id="1115293029">
      <w:bodyDiv w:val="1"/>
      <w:marLeft w:val="0"/>
      <w:marRight w:val="0"/>
      <w:marTop w:val="0"/>
      <w:marBottom w:val="0"/>
      <w:divBdr>
        <w:top w:val="none" w:sz="0" w:space="0" w:color="auto"/>
        <w:left w:val="none" w:sz="0" w:space="0" w:color="auto"/>
        <w:bottom w:val="none" w:sz="0" w:space="0" w:color="auto"/>
        <w:right w:val="none" w:sz="0" w:space="0" w:color="auto"/>
      </w:divBdr>
    </w:div>
    <w:div w:id="15573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e.co.uk/filelibrary/pdf/rpts/Fact_File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355D-B92D-4701-933B-83085A51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4</cp:revision>
  <dcterms:created xsi:type="dcterms:W3CDTF">2018-05-01T09:37:00Z</dcterms:created>
  <dcterms:modified xsi:type="dcterms:W3CDTF">2018-05-05T08:52:00Z</dcterms:modified>
</cp:coreProperties>
</file>