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A4B" w:rsidRDefault="00073A4B">
      <w:pPr>
        <w:rPr>
          <w:sz w:val="32"/>
        </w:rPr>
      </w:pPr>
      <w:r>
        <w:rPr>
          <w:sz w:val="32"/>
        </w:rPr>
        <w:t>University of Bath XX30191</w:t>
      </w:r>
    </w:p>
    <w:p w:rsidR="00794DCE" w:rsidRPr="00073A4B" w:rsidRDefault="00133128">
      <w:pPr>
        <w:rPr>
          <w:sz w:val="32"/>
        </w:rPr>
      </w:pPr>
      <w:r w:rsidRPr="00073A4B">
        <w:rPr>
          <w:sz w:val="36"/>
        </w:rPr>
        <w:t>HO</w:t>
      </w:r>
      <w:r w:rsidR="00F81280" w:rsidRPr="00073A4B">
        <w:rPr>
          <w:sz w:val="36"/>
        </w:rPr>
        <w:t>U</w:t>
      </w:r>
      <w:r w:rsidRPr="00073A4B">
        <w:rPr>
          <w:sz w:val="36"/>
        </w:rPr>
        <w:t>SEHOLD INCOME AND CARBON EMISSIONS</w:t>
      </w:r>
      <w:r w:rsidR="00B0105E" w:rsidRPr="00073A4B">
        <w:rPr>
          <w:sz w:val="32"/>
        </w:rPr>
        <w:t xml:space="preserve"> </w:t>
      </w:r>
    </w:p>
    <w:p w:rsidR="005675DD" w:rsidRPr="00073A4B" w:rsidRDefault="005675DD">
      <w:pPr>
        <w:rPr>
          <w:b/>
          <w:sz w:val="32"/>
        </w:rPr>
      </w:pPr>
      <w:r w:rsidRPr="00073A4B">
        <w:rPr>
          <w:b/>
          <w:sz w:val="32"/>
        </w:rPr>
        <w:t>PRACTICAL SESSION</w:t>
      </w:r>
    </w:p>
    <w:p w:rsidR="00F81280" w:rsidRDefault="00073A4B">
      <w:r w:rsidRPr="00073A4B">
        <w:rPr>
          <w:sz w:val="32"/>
        </w:rPr>
        <w:t>Peter Harper</w:t>
      </w:r>
    </w:p>
    <w:p w:rsidR="00073A4B" w:rsidRDefault="00073A4B"/>
    <w:p w:rsidR="00F81280" w:rsidRDefault="00F81280">
      <w:r>
        <w:t>On an international scale it is wel</w:t>
      </w:r>
      <w:r w:rsidR="00F013A5">
        <w:t>l</w:t>
      </w:r>
      <w:r>
        <w:t xml:space="preserve"> known that carbon em</w:t>
      </w:r>
      <w:r w:rsidR="005675DD">
        <w:t>i</w:t>
      </w:r>
      <w:r>
        <w:t>ssions a</w:t>
      </w:r>
      <w:r w:rsidR="005675DD">
        <w:t>re positively correlated with</w:t>
      </w:r>
      <w:r>
        <w:t xml:space="preserve"> GDP. This is problematic because all nations want to grow and get richer. To do this and not increase carbon emissions demands ‘decoupling’ of emissions and economy, or in other words switching from higher to lower carbon intensity</w:t>
      </w:r>
      <w:r w:rsidR="00F013A5">
        <w:t xml:space="preserve"> while keeping everything growing</w:t>
      </w:r>
      <w:r>
        <w:t>. It is not proving easy.</w:t>
      </w:r>
    </w:p>
    <w:p w:rsidR="00F81280" w:rsidRDefault="00F81280"/>
    <w:p w:rsidR="00F81280" w:rsidRDefault="002D1952">
      <w:r>
        <w:rPr>
          <w:noProof/>
          <w:sz w:val="18"/>
          <w:lang w:eastAsia="en-GB"/>
        </w:rPr>
        <mc:AlternateContent>
          <mc:Choice Requires="wps">
            <w:drawing>
              <wp:anchor distT="0" distB="0" distL="114300" distR="114300" simplePos="0" relativeHeight="251663360" behindDoc="0" locked="0" layoutInCell="1" allowOverlap="1" wp14:anchorId="283211E7" wp14:editId="23E59E9D">
                <wp:simplePos x="0" y="0"/>
                <wp:positionH relativeFrom="column">
                  <wp:posOffset>2461260</wp:posOffset>
                </wp:positionH>
                <wp:positionV relativeFrom="paragraph">
                  <wp:posOffset>1031875</wp:posOffset>
                </wp:positionV>
                <wp:extent cx="3082925" cy="0"/>
                <wp:effectExtent l="0" t="0" r="22225" b="19050"/>
                <wp:wrapNone/>
                <wp:docPr id="31" name="Straight Connector 31"/>
                <wp:cNvGraphicFramePr/>
                <a:graphic xmlns:a="http://schemas.openxmlformats.org/drawingml/2006/main">
                  <a:graphicData uri="http://schemas.microsoft.com/office/word/2010/wordprocessingShape">
                    <wps:wsp>
                      <wps:cNvCnPr/>
                      <wps:spPr>
                        <a:xfrm>
                          <a:off x="0" y="0"/>
                          <a:ext cx="3082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8pt,81.25pt" to="436.5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9O0uAEAAMUDAAAOAAAAZHJzL2Uyb0RvYy54bWysU8GOEzEMvSPxD1HudKZdgZZRp3voarkg&#10;qFj4gGzG6URK4sgJnfbvcdJ2FgESAu3FE8d+tt+LZ3139E4cgJLF0MvlopUCgsbBhn0vv319eHMr&#10;RcoqDMphgF6eIMm7zetX6yl2sMIR3QAkuEhI3RR7OeYcu6ZJegSv0gIjBA4aJK8yu7RvBlITV/eu&#10;WbXtu2ZCGiKhhpT49v4clJta3xjQ+bMxCbJwveTZcrVU7VOxzWatuj2pOFp9GUP9xxRe2cBN51L3&#10;KivxnexvpbzVhAlNXmj0DRpjNVQOzGbZ/sLmcVQRKhcWJ8VZpvRyZfWnw46EHXp5s5QiKM9v9JhJ&#10;2f2YxRZDYAWRBAdZqSmmjgHbsKOLl+KOCu2jIV++TEgcq7qnWV04ZqH58qa9Xb1fvZVCX2PNMzBS&#10;yh8AvSiHXjobCnHVqcPHlLkZp15T2CmDnFvXUz45KMkufAHDZLjZsqLrGsHWkTgoXgClNYRcqXC9&#10;ml1gxjo3A9u/Ay/5BQp1xf4FPCNqZwx5BnsbkP7UPR+vI5tz/lWBM+8iwRMOp/ooVRrelarYZa/L&#10;Mv7sV/jz37f5AQAA//8DAFBLAwQUAAYACAAAACEAr3P6EOAAAAALAQAADwAAAGRycy9kb3ducmV2&#10;LnhtbEyP0UrDQBBF3wX/YRnBF7GbtjYNMZuiQumDFbHxA7bZMQlmZ0N2k6Z+vSMI+jhzD3fOZJvJ&#10;tmLE3jeOFMxnEQik0pmGKgXvxfY2AeGDJqNbR6jgjB42+eVFplPjTvSG4yFUgkvIp1pBHUKXSunL&#10;Gq32M9chcfbheqsDj30lTa9PXG5buYiiWFrdEF+odYdPNZafh8Eq2G0f8Xl1Hqo7s9oVN2Oxf/l6&#10;TZS6vpoe7kEEnMIfDD/6rA45Ox3dQMaLVsEyWceMchAvViCYSNbLOYjj70bmmfz/Q/4NAAD//wMA&#10;UEsBAi0AFAAGAAgAAAAhALaDOJL+AAAA4QEAABMAAAAAAAAAAAAAAAAAAAAAAFtDb250ZW50X1R5&#10;cGVzXS54bWxQSwECLQAUAAYACAAAACEAOP0h/9YAAACUAQAACwAAAAAAAAAAAAAAAAAvAQAAX3Jl&#10;bHMvLnJlbHNQSwECLQAUAAYACAAAACEAoXvTtLgBAADFAwAADgAAAAAAAAAAAAAAAAAuAgAAZHJz&#10;L2Uyb0RvYy54bWxQSwECLQAUAAYACAAAACEAr3P6EOAAAAALAQAADwAAAAAAAAAAAAAAAAASBAAA&#10;ZHJzL2Rvd25yZXYueG1sUEsFBgAAAAAEAAQA8wAAAB8FAAAAAA==&#10;" strokecolor="#4579b8 [3044]"/>
            </w:pict>
          </mc:Fallback>
        </mc:AlternateContent>
      </w:r>
      <w:r>
        <w:rPr>
          <w:noProof/>
          <w:sz w:val="18"/>
          <w:lang w:eastAsia="en-GB"/>
        </w:rPr>
        <mc:AlternateContent>
          <mc:Choice Requires="wps">
            <w:drawing>
              <wp:anchor distT="0" distB="0" distL="114300" distR="114300" simplePos="0" relativeHeight="251665408" behindDoc="0" locked="0" layoutInCell="1" allowOverlap="1" wp14:anchorId="5185FBC9" wp14:editId="1C192D68">
                <wp:simplePos x="0" y="0"/>
                <wp:positionH relativeFrom="column">
                  <wp:posOffset>4991100</wp:posOffset>
                </wp:positionH>
                <wp:positionV relativeFrom="paragraph">
                  <wp:posOffset>766445</wp:posOffset>
                </wp:positionV>
                <wp:extent cx="0" cy="1742440"/>
                <wp:effectExtent l="0" t="0" r="19050" b="10160"/>
                <wp:wrapNone/>
                <wp:docPr id="35" name="Straight Connector 35"/>
                <wp:cNvGraphicFramePr/>
                <a:graphic xmlns:a="http://schemas.openxmlformats.org/drawingml/2006/main">
                  <a:graphicData uri="http://schemas.microsoft.com/office/word/2010/wordprocessingShape">
                    <wps:wsp>
                      <wps:cNvCnPr/>
                      <wps:spPr>
                        <a:xfrm>
                          <a:off x="0" y="0"/>
                          <a:ext cx="0" cy="1742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60.35pt" to="393pt,1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79uQEAAMUDAAAOAAAAZHJzL2Uyb0RvYy54bWysU02P0zAQvSPxHyzfaZLSBRQ13UNXywUt&#10;FQs/wOuMG0v+0tg06b9n7LTZFSAhEBfHY897M+95sr2drGEnwKi963izqjkDJ32v3bHj377ev/nA&#10;WUzC9cJ4Bx0/Q+S3u9evtmNoYe0Hb3pARiQutmPo+JBSaKsqygGsiCsfwNGl8mhFohCPVY9iJHZr&#10;qnVdv6tGj31ALyFGOr2bL/mu8CsFMn1WKkJipuPUWyorlvUpr9VuK9ojijBoeWlD/EMXVmhHRReq&#10;O5EE+476FyqrJfroVVpJbyuvlJZQNJCapv5JzeMgAhQtZE4Mi03x/9HKh9MBme47/vaGMycsvdFj&#10;QqGPQ2J77xw56JHRJTk1htgSYO8OeIliOGCWPSm0+UuC2FTcPS/uwpSYnA8lnTbvN+vNpjhfPQMD&#10;xvQRvGV503GjXRYuWnH6FBMVo9RrCgW5kbl02aWzgZxs3BdQJIaKNQVdxgj2BtlJ0AAIKcGlJksh&#10;vpKdYUobswDrPwMv+RkKZcT+BrwgSmXv0gK22nn8XfU0XVtWc/7VgVl3tuDJ9+fyKMUampWi8DLX&#10;eRhfxgX+/PftfgAAAP//AwBQSwMEFAAGAAgAAAAhAMCseYThAAAACwEAAA8AAABkcnMvZG93bnJl&#10;di54bWxMj8FOwzAQRO9I/IO1SFwQdVpIG0KcCpCqHgpCNHyAGy9JRLyOYidN+XoWcYDjzoxm32Tr&#10;ybZixN43jhTMZxEIpNKZhioF78XmOgHhgyajW0eo4IQe1vn5WaZT4470huM+VIJLyKdaQR1Cl0rp&#10;yxqt9jPXIbH34XqrA599JU2vj1xuW7mIoqW0uiH+UOsOn2osP/eDVbDdPOIuPg3VrYm3xdVYPL98&#10;vSZKXV5MD/cgAk7hLww/+IwOOTMd3EDGi1bBKlnylsDGIlqB4MSvclBwcxfPQeaZ/L8h/wYAAP//&#10;AwBQSwECLQAUAAYACAAAACEAtoM4kv4AAADhAQAAEwAAAAAAAAAAAAAAAAAAAAAAW0NvbnRlbnRf&#10;VHlwZXNdLnhtbFBLAQItABQABgAIAAAAIQA4/SH/1gAAAJQBAAALAAAAAAAAAAAAAAAAAC8BAABf&#10;cmVscy8ucmVsc1BLAQItABQABgAIAAAAIQBCXe79uQEAAMUDAAAOAAAAAAAAAAAAAAAAAC4CAABk&#10;cnMvZTJvRG9jLnhtbFBLAQItABQABgAIAAAAIQDArHmE4QAAAAsBAAAPAAAAAAAAAAAAAAAAABME&#10;AABkcnMvZG93bnJldi54bWxQSwUGAAAAAAQABADzAAAAIQUAAAAA&#10;" strokecolor="#4579b8 [3044]"/>
            </w:pict>
          </mc:Fallback>
        </mc:AlternateContent>
      </w:r>
      <w:r>
        <w:rPr>
          <w:noProof/>
          <w:lang w:eastAsia="en-GB"/>
        </w:rPr>
        <w:drawing>
          <wp:anchor distT="0" distB="0" distL="114300" distR="114300" simplePos="0" relativeHeight="251658240" behindDoc="0" locked="0" layoutInCell="1" allowOverlap="1" wp14:anchorId="0CEFAB07" wp14:editId="6180E084">
            <wp:simplePos x="0" y="0"/>
            <wp:positionH relativeFrom="column">
              <wp:posOffset>2103120</wp:posOffset>
            </wp:positionH>
            <wp:positionV relativeFrom="paragraph">
              <wp:posOffset>476250</wp:posOffset>
            </wp:positionV>
            <wp:extent cx="4082415" cy="2352675"/>
            <wp:effectExtent l="0" t="0" r="0" b="9525"/>
            <wp:wrapSquare wrapText="bothSides"/>
            <wp:docPr id="6" name="Picture 7" descr="./CESR_A_454593_O_XML_IMAGES/CESR_A_454593_O_F0008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CESR_A_454593_O_XML_IMAGES/CESR_A_454593_O_F0008g.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08241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654F2F" w:rsidRPr="00654F2F">
        <w:rPr>
          <w:noProof/>
          <w:sz w:val="18"/>
          <w:lang w:eastAsia="en-GB"/>
        </w:rPr>
        <mc:AlternateContent>
          <mc:Choice Requires="wps">
            <w:drawing>
              <wp:anchor distT="0" distB="0" distL="114300" distR="114300" simplePos="0" relativeHeight="251660288" behindDoc="0" locked="0" layoutInCell="1" allowOverlap="1" wp14:anchorId="38DA001A" wp14:editId="1E42BF36">
                <wp:simplePos x="0" y="0"/>
                <wp:positionH relativeFrom="column">
                  <wp:posOffset>3354543</wp:posOffset>
                </wp:positionH>
                <wp:positionV relativeFrom="paragraph">
                  <wp:posOffset>1946600</wp:posOffset>
                </wp:positionV>
                <wp:extent cx="2583711" cy="478465"/>
                <wp:effectExtent l="0" t="0" r="2667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711" cy="478465"/>
                        </a:xfrm>
                        <a:prstGeom prst="rect">
                          <a:avLst/>
                        </a:prstGeom>
                        <a:solidFill>
                          <a:srgbClr val="FFFFFF"/>
                        </a:solidFill>
                        <a:ln w="9525">
                          <a:solidFill>
                            <a:srgbClr val="000000"/>
                          </a:solidFill>
                          <a:miter lim="800000"/>
                          <a:headEnd/>
                          <a:tailEnd/>
                        </a:ln>
                      </wps:spPr>
                      <wps:txbx>
                        <w:txbxContent>
                          <w:p w:rsidR="00654F2F" w:rsidRPr="00654F2F" w:rsidRDefault="00654F2F" w:rsidP="00654F2F">
                            <w:pPr>
                              <w:rPr>
                                <w:sz w:val="18"/>
                              </w:rPr>
                            </w:pPr>
                            <w:r w:rsidRPr="00654F2F">
                              <w:rPr>
                                <w:sz w:val="18"/>
                              </w:rPr>
                              <w:t xml:space="preserve">Minx J.C., </w:t>
                            </w:r>
                            <w:r w:rsidRPr="00654F2F">
                              <w:rPr>
                                <w:i/>
                                <w:sz w:val="18"/>
                              </w:rPr>
                              <w:t>et al</w:t>
                            </w:r>
                            <w:r w:rsidRPr="00654F2F">
                              <w:rPr>
                                <w:sz w:val="18"/>
                              </w:rPr>
                              <w:t>., Understanding Changes in CO2 Emissions from Consumption 1992-2004: a</w:t>
                            </w:r>
                          </w:p>
                          <w:p w:rsidR="00654F2F" w:rsidRPr="00654F2F" w:rsidRDefault="00654F2F" w:rsidP="00654F2F">
                            <w:pPr>
                              <w:rPr>
                                <w:sz w:val="18"/>
                              </w:rPr>
                            </w:pPr>
                            <w:proofErr w:type="gramStart"/>
                            <w:r w:rsidRPr="00654F2F">
                              <w:rPr>
                                <w:sz w:val="18"/>
                              </w:rPr>
                              <w:t>structural</w:t>
                            </w:r>
                            <w:proofErr w:type="gramEnd"/>
                            <w:r w:rsidRPr="00654F2F">
                              <w:rPr>
                                <w:sz w:val="18"/>
                              </w:rPr>
                              <w:t xml:space="preserve"> decomposition analysis. </w:t>
                            </w:r>
                            <w:proofErr w:type="gramStart"/>
                            <w:r w:rsidRPr="00654F2F">
                              <w:rPr>
                                <w:sz w:val="18"/>
                              </w:rPr>
                              <w:t>DEFRA.</w:t>
                            </w:r>
                            <w:proofErr w:type="gramEnd"/>
                            <w:r w:rsidRPr="00654F2F">
                              <w:rPr>
                                <w:sz w:val="18"/>
                              </w:rPr>
                              <w:t xml:space="preserve"> (2009).</w:t>
                            </w:r>
                          </w:p>
                          <w:p w:rsidR="00654F2F" w:rsidRDefault="00654F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15pt;margin-top:153.3pt;width:203.45pt;height: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byJQIAAEYEAAAOAAAAZHJzL2Uyb0RvYy54bWysU9uO2yAQfa/Uf0C8N75ssslacVbbbFNV&#10;2l6k3X4AxjhGBcYFEjv9+g7Ym6a3l6o8IIYZDjPnzKxvB63IUVgnwZQ0m6WUCMOhlmZf0s9Pu1cr&#10;SpxnpmYKjCjpSTh6u3n5Yt13hcihBVULSxDEuKLvStp63xVJ4ngrNHMz6IRBZwNWM4+m3Se1ZT2i&#10;a5XkaXqd9GDrzgIXzuHt/eikm4jfNIL7j03jhCeqpJibj7uNexX2ZLNmxd6yrpV8SoP9QxaaSYOf&#10;nqHumWfkYOVvUFpyCw4aP+OgE2gayUWsAavJ0l+qeWxZJ2ItSI7rzjS5/wfLPxw/WSLrkl6lS0oM&#10;0yjSkxg8eQ0DyQM/fecKDHvsMNAPeI06x1pd9wD8iyMGti0ze3FnLfStYDXml4WXycXTEccFkKp/&#10;DzV+ww4eItDQWB3IQzoIoqNOp7M2IRWOl/lidbXMMko4+ubL1fx6Eb9gxfPrzjr/VoAm4VBSi9pH&#10;dHZ8cD5kw4rnkPCZAyXrnVQqGnZfbZUlR4Z9sotrQv8pTBnSl/RmkS9GAv4Kkcb1JwgtPTa8krqk&#10;q3MQKwJtb0wd29EzqcYzpqzMxGOgbiTRD9Uw6VJBfUJGLYyNjYOIhxbsN0p6bOqSuq8HZgUl6p1B&#10;VW6y+TxMQTTmi2WOhr30VJceZjhCldRTMh63Pk5OIMzAHarXyEhskHnMZMoVmzXyPQ1WmIZLO0b9&#10;GP/NdwAAAP//AwBQSwMEFAAGAAgAAAAhAAjcELrhAAAACwEAAA8AAABkcnMvZG93bnJldi54bWxM&#10;j8FOwzAMhu9IvENkJC6IpWtZaUvTCSGB4AbbBNes8dqKxClJ1pW3J5zgaPvT7++v17PRbELnB0sC&#10;losEGFJr1UCdgN328boA5oMkJbUlFPCNHtbN+VktK2VP9IbTJnQshpCvpIA+hLHi3Lc9GukXdkSK&#10;t4N1RoY4uo4rJ08x3GieJknOjRwofujliA89tp+boxFQ3DxPH/4le31v84Muw9Xt9PTlhLi8mO/v&#10;gAWcwx8Mv/pRHZrotLdHUp5pAau0yCIqIEvyHFgkymyVAtvHTbEsgTc1/9+h+QEAAP//AwBQSwEC&#10;LQAUAAYACAAAACEAtoM4kv4AAADhAQAAEwAAAAAAAAAAAAAAAAAAAAAAW0NvbnRlbnRfVHlwZXNd&#10;LnhtbFBLAQItABQABgAIAAAAIQA4/SH/1gAAAJQBAAALAAAAAAAAAAAAAAAAAC8BAABfcmVscy8u&#10;cmVsc1BLAQItABQABgAIAAAAIQCfUCbyJQIAAEYEAAAOAAAAAAAAAAAAAAAAAC4CAABkcnMvZTJv&#10;RG9jLnhtbFBLAQItABQABgAIAAAAIQAI3BC64QAAAAsBAAAPAAAAAAAAAAAAAAAAAH8EAABkcnMv&#10;ZG93bnJldi54bWxQSwUGAAAAAAQABADzAAAAjQUAAAAA&#10;">
                <v:textbox>
                  <w:txbxContent>
                    <w:p w:rsidR="00654F2F" w:rsidRPr="00654F2F" w:rsidRDefault="00654F2F" w:rsidP="00654F2F">
                      <w:pPr>
                        <w:rPr>
                          <w:sz w:val="18"/>
                        </w:rPr>
                      </w:pPr>
                      <w:r w:rsidRPr="00654F2F">
                        <w:rPr>
                          <w:sz w:val="18"/>
                        </w:rPr>
                        <w:t xml:space="preserve">Minx J.C., </w:t>
                      </w:r>
                      <w:r w:rsidRPr="00654F2F">
                        <w:rPr>
                          <w:i/>
                          <w:sz w:val="18"/>
                        </w:rPr>
                        <w:t>et al</w:t>
                      </w:r>
                      <w:r w:rsidRPr="00654F2F">
                        <w:rPr>
                          <w:sz w:val="18"/>
                        </w:rPr>
                        <w:t>., Understanding Changes in CO2 Emissions from Consumption 1992-2004: a</w:t>
                      </w:r>
                    </w:p>
                    <w:p w:rsidR="00654F2F" w:rsidRPr="00654F2F" w:rsidRDefault="00654F2F" w:rsidP="00654F2F">
                      <w:pPr>
                        <w:rPr>
                          <w:sz w:val="18"/>
                        </w:rPr>
                      </w:pPr>
                      <w:proofErr w:type="gramStart"/>
                      <w:r w:rsidRPr="00654F2F">
                        <w:rPr>
                          <w:sz w:val="18"/>
                        </w:rPr>
                        <w:t>structural</w:t>
                      </w:r>
                      <w:proofErr w:type="gramEnd"/>
                      <w:r w:rsidRPr="00654F2F">
                        <w:rPr>
                          <w:sz w:val="18"/>
                        </w:rPr>
                        <w:t xml:space="preserve"> decomposition analysis. </w:t>
                      </w:r>
                      <w:proofErr w:type="gramStart"/>
                      <w:r w:rsidRPr="00654F2F">
                        <w:rPr>
                          <w:sz w:val="18"/>
                        </w:rPr>
                        <w:t>DEFRA.</w:t>
                      </w:r>
                      <w:proofErr w:type="gramEnd"/>
                      <w:r w:rsidRPr="00654F2F">
                        <w:rPr>
                          <w:sz w:val="18"/>
                        </w:rPr>
                        <w:t xml:space="preserve"> (2009).</w:t>
                      </w:r>
                    </w:p>
                    <w:p w:rsidR="00654F2F" w:rsidRDefault="00654F2F"/>
                  </w:txbxContent>
                </v:textbox>
              </v:shape>
            </w:pict>
          </mc:Fallback>
        </mc:AlternateContent>
      </w:r>
      <w:r w:rsidR="00F81280">
        <w:t xml:space="preserve">It is not so widely remarked that the same is likely to be true of individuals, or more precisely </w:t>
      </w:r>
      <w:r w:rsidR="00F81280" w:rsidRPr="005675DD">
        <w:rPr>
          <w:i/>
        </w:rPr>
        <w:t>households</w:t>
      </w:r>
      <w:r w:rsidR="00F81280">
        <w:t>, the main locus of consumption. Usually hous</w:t>
      </w:r>
      <w:r w:rsidR="00F013A5">
        <w:t>ehold</w:t>
      </w:r>
      <w:r w:rsidR="00505A7D">
        <w:t>s</w:t>
      </w:r>
      <w:r w:rsidR="00F013A5">
        <w:t xml:space="preserve"> aspire </w:t>
      </w:r>
      <w:r w:rsidR="00505A7D">
        <w:t>to get richer</w:t>
      </w:r>
      <w:r w:rsidR="00F81280">
        <w:t>. Will this tend to increase their carbon emissions?</w:t>
      </w:r>
      <w:r w:rsidR="005675DD">
        <w:t xml:space="preserve"> There is every reason to thi</w:t>
      </w:r>
      <w:r w:rsidR="00540561">
        <w:t xml:space="preserve">nk so, yet </w:t>
      </w:r>
      <w:r w:rsidR="00190E26">
        <w:t xml:space="preserve">until recently </w:t>
      </w:r>
      <w:r w:rsidR="00540561">
        <w:t xml:space="preserve">the literature has been remarkably silent on the matter. </w:t>
      </w:r>
      <w:r w:rsidR="00190E26">
        <w:t>What data we have</w:t>
      </w:r>
      <w:r w:rsidR="00540561">
        <w:t xml:space="preserve"> suggests a direct straight-line relationship with a slope of about 0.</w:t>
      </w:r>
      <w:r w:rsidR="00F96E7D">
        <w:t>3</w:t>
      </w:r>
      <w:r w:rsidR="00540561">
        <w:t>, as shown in th</w:t>
      </w:r>
      <w:r w:rsidR="00F96E7D">
        <w:t>e</w:t>
      </w:r>
      <w:r w:rsidR="00A779E9">
        <w:t xml:space="preserve"> </w:t>
      </w:r>
      <w:r w:rsidR="00540561">
        <w:t xml:space="preserve">chart </w:t>
      </w:r>
      <w:r w:rsidR="00F96E7D">
        <w:t xml:space="preserve">at right </w:t>
      </w:r>
      <w:r w:rsidR="00540561">
        <w:t xml:space="preserve">(from Minx </w:t>
      </w:r>
      <w:r w:rsidR="00540561" w:rsidRPr="008D5732">
        <w:rPr>
          <w:i/>
        </w:rPr>
        <w:t>et al</w:t>
      </w:r>
      <w:r w:rsidR="00540561">
        <w:t>., 20</w:t>
      </w:r>
      <w:r w:rsidR="00654F2F">
        <w:t>09</w:t>
      </w:r>
      <w:r w:rsidR="00540561">
        <w:t>)</w:t>
      </w:r>
      <w:r w:rsidR="00A779E9">
        <w:t>.</w:t>
      </w:r>
    </w:p>
    <w:p w:rsidR="00F81280" w:rsidRDefault="00F81280"/>
    <w:p w:rsidR="00190E26" w:rsidRDefault="00190E26">
      <w:r>
        <w:t xml:space="preserve">Rather similar results have been obtained by Gough </w:t>
      </w:r>
      <w:r w:rsidRPr="00190E26">
        <w:rPr>
          <w:i/>
        </w:rPr>
        <w:t>et al</w:t>
      </w:r>
      <w:r>
        <w:t xml:space="preserve">. (2012) and </w:t>
      </w:r>
      <w:proofErr w:type="spellStart"/>
      <w:r>
        <w:t>Buechs</w:t>
      </w:r>
      <w:proofErr w:type="spellEnd"/>
      <w:r>
        <w:t xml:space="preserve"> and </w:t>
      </w:r>
      <w:proofErr w:type="spellStart"/>
      <w:r>
        <w:t>Schnepf</w:t>
      </w:r>
      <w:proofErr w:type="spellEnd"/>
      <w:r>
        <w:t xml:space="preserve"> (2013). </w:t>
      </w:r>
    </w:p>
    <w:p w:rsidR="00190E26" w:rsidRDefault="00190E26"/>
    <w:p w:rsidR="00A779E9" w:rsidRDefault="00190E26">
      <w:r>
        <w:rPr>
          <w:noProof/>
          <w:lang w:eastAsia="en-GB"/>
        </w:rPr>
        <w:drawing>
          <wp:anchor distT="0" distB="0" distL="114300" distR="114300" simplePos="0" relativeHeight="251666432" behindDoc="0" locked="0" layoutInCell="1" allowOverlap="1">
            <wp:simplePos x="0" y="0"/>
            <wp:positionH relativeFrom="column">
              <wp:posOffset>2344420</wp:posOffset>
            </wp:positionH>
            <wp:positionV relativeFrom="paragraph">
              <wp:posOffset>31115</wp:posOffset>
            </wp:positionV>
            <wp:extent cx="4135755" cy="2508885"/>
            <wp:effectExtent l="0" t="0" r="17145" b="24765"/>
            <wp:wrapSquare wrapText="bothSides"/>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073A4B">
        <w:t xml:space="preserve">These authors have mapped out the average cases, </w:t>
      </w:r>
      <w:proofErr w:type="gramStart"/>
      <w:r w:rsidR="00073A4B">
        <w:t xml:space="preserve">but </w:t>
      </w:r>
      <w:r w:rsidR="00A779E9">
        <w:t xml:space="preserve"> </w:t>
      </w:r>
      <w:r w:rsidR="00F96E7D">
        <w:t>for</w:t>
      </w:r>
      <w:proofErr w:type="gramEnd"/>
      <w:r w:rsidR="00F96E7D">
        <w:t xml:space="preserve"> each income point there must be another distribution of high- and low-emitting households. </w:t>
      </w:r>
      <w:r w:rsidR="00073A4B">
        <w:t xml:space="preserve">How low could these be? </w:t>
      </w:r>
      <w:proofErr w:type="gramStart"/>
      <w:r w:rsidR="00073A4B">
        <w:t>Or how high?</w:t>
      </w:r>
      <w:proofErr w:type="gramEnd"/>
    </w:p>
    <w:p w:rsidR="00F96E7D" w:rsidRDefault="00F96E7D"/>
    <w:p w:rsidR="00F96E7D" w:rsidRDefault="00F96E7D">
      <w:r>
        <w:t xml:space="preserve">The full distribution within this income/emissions space has </w:t>
      </w:r>
      <w:r w:rsidR="00073A4B">
        <w:t>not been</w:t>
      </w:r>
      <w:r>
        <w:t xml:space="preserve"> studied, and we shall carry out some explorations in the practical.</w:t>
      </w:r>
    </w:p>
    <w:p w:rsidR="00F96E7D" w:rsidRDefault="00F96E7D"/>
    <w:p w:rsidR="005675DD" w:rsidRDefault="005675DD">
      <w:r>
        <w:t xml:space="preserve">Why this could be significant is that if some households are </w:t>
      </w:r>
      <w:r w:rsidR="005448B8">
        <w:t xml:space="preserve">potentially </w:t>
      </w:r>
      <w:r>
        <w:t>much ‘better’ than average, we want to know what they are doing right</w:t>
      </w:r>
      <w:r w:rsidR="005448B8">
        <w:t>, and whether it translates into a viable pattern of family life</w:t>
      </w:r>
      <w:r>
        <w:t>. And conversely, what the bad ones are doing wrong.</w:t>
      </w:r>
      <w:r w:rsidR="005448B8">
        <w:t xml:space="preserve"> How ‘bad’ can a household get?</w:t>
      </w:r>
      <w:r>
        <w:t xml:space="preserve"> And are these effects strong enough to ‘d</w:t>
      </w:r>
      <w:r w:rsidR="00F013A5">
        <w:t>ecouple’</w:t>
      </w:r>
      <w:r w:rsidR="005448B8">
        <w:t xml:space="preserve"> income and emissions</w:t>
      </w:r>
      <w:r w:rsidR="00F013A5">
        <w:t xml:space="preserve"> </w:t>
      </w:r>
      <w:proofErr w:type="gramStart"/>
      <w:r w:rsidR="00F013A5">
        <w:t>--  to</w:t>
      </w:r>
      <w:proofErr w:type="gramEnd"/>
      <w:r w:rsidR="00F013A5">
        <w:t xml:space="preserve"> overcome the </w:t>
      </w:r>
      <w:r w:rsidR="00F96E7D">
        <w:t xml:space="preserve">apparently </w:t>
      </w:r>
      <w:r w:rsidR="00F013A5">
        <w:t>ma</w:t>
      </w:r>
      <w:r>
        <w:t>lign effects of simply being rich?</w:t>
      </w:r>
    </w:p>
    <w:p w:rsidR="005675DD" w:rsidRDefault="005675DD"/>
    <w:p w:rsidR="00A779E9" w:rsidRDefault="00A779E9"/>
    <w:p w:rsidR="00F96E7D" w:rsidRDefault="005448B8">
      <w:r>
        <w:rPr>
          <w:noProof/>
          <w:lang w:eastAsia="en-GB"/>
        </w:rPr>
        <w:lastRenderedPageBreak/>
        <mc:AlternateContent>
          <mc:Choice Requires="wpc">
            <w:drawing>
              <wp:anchor distT="0" distB="0" distL="114300" distR="114300" simplePos="0" relativeHeight="251667456" behindDoc="0" locked="0" layoutInCell="1" allowOverlap="1" wp14:anchorId="6D9A234E" wp14:editId="4D494B5D">
                <wp:simplePos x="0" y="0"/>
                <wp:positionH relativeFrom="column">
                  <wp:posOffset>228600</wp:posOffset>
                </wp:positionH>
                <wp:positionV relativeFrom="paragraph">
                  <wp:posOffset>829310</wp:posOffset>
                </wp:positionV>
                <wp:extent cx="5762625" cy="3784600"/>
                <wp:effectExtent l="0" t="0" r="0" b="0"/>
                <wp:wrapSquare wrapText="bothSides"/>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418466" y="2668"/>
                            <a:ext cx="4686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6"/>
                        <wps:cNvSpPr>
                          <a:spLocks noChangeArrowheads="1"/>
                        </wps:cNvSpPr>
                        <wps:spPr bwMode="auto">
                          <a:xfrm>
                            <a:off x="418466" y="1921951"/>
                            <a:ext cx="2743200" cy="748030"/>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wps:wsp>
                        <wps:cNvPr id="5" name="Rectangle 7"/>
                        <wps:cNvSpPr>
                          <a:spLocks noChangeArrowheads="1"/>
                        </wps:cNvSpPr>
                        <wps:spPr bwMode="auto">
                          <a:xfrm>
                            <a:off x="3161666" y="1069781"/>
                            <a:ext cx="342900" cy="1600200"/>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wps:wsp>
                        <wps:cNvPr id="7" name="Rectangle 8"/>
                        <wps:cNvSpPr>
                          <a:spLocks noChangeArrowheads="1"/>
                        </wps:cNvSpPr>
                        <wps:spPr bwMode="auto">
                          <a:xfrm>
                            <a:off x="3504566" y="841181"/>
                            <a:ext cx="1143000" cy="1828800"/>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wps:wsp>
                        <wps:cNvPr id="8" name="Rectangle 9"/>
                        <wps:cNvSpPr>
                          <a:spLocks noChangeArrowheads="1"/>
                        </wps:cNvSpPr>
                        <wps:spPr bwMode="auto">
                          <a:xfrm>
                            <a:off x="418466" y="2441381"/>
                            <a:ext cx="3200400" cy="228600"/>
                          </a:xfrm>
                          <a:prstGeom prst="rect">
                            <a:avLst/>
                          </a:prstGeom>
                          <a:solidFill>
                            <a:srgbClr val="800000"/>
                          </a:solidFill>
                          <a:ln w="9525">
                            <a:solidFill>
                              <a:srgbClr val="000000"/>
                            </a:solidFill>
                            <a:miter lim="800000"/>
                            <a:headEnd/>
                            <a:tailEnd/>
                          </a:ln>
                        </wps:spPr>
                        <wps:bodyPr rot="0" vert="horz" wrap="square" lIns="91440" tIns="45720" rIns="91440" bIns="45720" anchor="t" anchorCtr="0" upright="1">
                          <a:noAutofit/>
                        </wps:bodyPr>
                      </wps:wsp>
                      <wps:wsp>
                        <wps:cNvPr id="9" name="Rectangle 10"/>
                        <wps:cNvSpPr>
                          <a:spLocks noChangeArrowheads="1"/>
                        </wps:cNvSpPr>
                        <wps:spPr bwMode="auto">
                          <a:xfrm>
                            <a:off x="418466" y="2098481"/>
                            <a:ext cx="295275" cy="571500"/>
                          </a:xfrm>
                          <a:prstGeom prst="rect">
                            <a:avLst/>
                          </a:prstGeom>
                          <a:gradFill rotWithShape="1">
                            <a:gsLst>
                              <a:gs pos="0">
                                <a:srgbClr val="FFFF00">
                                  <a:alpha val="56000"/>
                                </a:srgbClr>
                              </a:gs>
                              <a:gs pos="100000">
                                <a:srgbClr val="FFFF00">
                                  <a:gamma/>
                                  <a:shade val="46275"/>
                                  <a:invGamma/>
                                  <a:alpha val="56000"/>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10" name="Text Box 11"/>
                        <wps:cNvSpPr txBox="1">
                          <a:spLocks noChangeArrowheads="1"/>
                        </wps:cNvSpPr>
                        <wps:spPr bwMode="auto">
                          <a:xfrm>
                            <a:off x="1" y="155381"/>
                            <a:ext cx="342265"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3A5" w:rsidRDefault="00F013A5" w:rsidP="00F013A5">
                              <w:r>
                                <w:t>Emission intensity, kgCO2e/£</w:t>
                              </w:r>
                            </w:p>
                          </w:txbxContent>
                        </wps:txbx>
                        <wps:bodyPr rot="0" vert="vert270" wrap="square" lIns="91440" tIns="45720" rIns="91440" bIns="45720" anchor="t" anchorCtr="0" upright="1">
                          <a:noAutofit/>
                        </wps:bodyPr>
                      </wps:wsp>
                      <wps:wsp>
                        <wps:cNvPr id="11" name="Text Box 12"/>
                        <wps:cNvSpPr txBox="1">
                          <a:spLocks noChangeArrowheads="1"/>
                        </wps:cNvSpPr>
                        <wps:spPr bwMode="auto">
                          <a:xfrm>
                            <a:off x="3390266" y="2669981"/>
                            <a:ext cx="14865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3A5" w:rsidRDefault="00F013A5" w:rsidP="00F013A5">
                              <w:r>
                                <w:t>Expenditure, £</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4647566" y="1526981"/>
                            <a:ext cx="457200" cy="1143000"/>
                          </a:xfrm>
                          <a:prstGeom prst="rect">
                            <a:avLst/>
                          </a:prstGeom>
                          <a:solidFill>
                            <a:srgbClr val="800000"/>
                          </a:solidFill>
                          <a:ln w="9525">
                            <a:solidFill>
                              <a:srgbClr val="000000"/>
                            </a:solidFill>
                            <a:miter lim="800000"/>
                            <a:headEnd/>
                            <a:tailEnd/>
                          </a:ln>
                        </wps:spPr>
                        <wps:bodyPr rot="0" vert="horz" wrap="square" lIns="91440" tIns="45720" rIns="91440" bIns="45720" anchor="t" anchorCtr="0" upright="1">
                          <a:noAutofit/>
                        </wps:bodyPr>
                      </wps:wsp>
                      <wps:wsp>
                        <wps:cNvPr id="13" name="Rectangle 14"/>
                        <wps:cNvSpPr>
                          <a:spLocks noChangeArrowheads="1"/>
                        </wps:cNvSpPr>
                        <wps:spPr bwMode="auto">
                          <a:xfrm>
                            <a:off x="4647566" y="155381"/>
                            <a:ext cx="457200" cy="2514600"/>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wps:wsp>
                        <wps:cNvPr id="14" name="Rectangle 15"/>
                        <wps:cNvSpPr>
                          <a:spLocks noChangeArrowheads="1"/>
                        </wps:cNvSpPr>
                        <wps:spPr bwMode="auto">
                          <a:xfrm>
                            <a:off x="4876166" y="1412681"/>
                            <a:ext cx="228600" cy="1257300"/>
                          </a:xfrm>
                          <a:prstGeom prst="rect">
                            <a:avLst/>
                          </a:prstGeom>
                          <a:solidFill>
                            <a:srgbClr val="800000"/>
                          </a:solidFill>
                          <a:ln w="9525">
                            <a:solidFill>
                              <a:srgbClr val="000000"/>
                            </a:solidFill>
                            <a:miter lim="800000"/>
                            <a:headEnd/>
                            <a:tailEnd/>
                          </a:ln>
                        </wps:spPr>
                        <wps:bodyPr rot="0" vert="horz" wrap="square" lIns="91440" tIns="45720" rIns="91440" bIns="45720" anchor="t" anchorCtr="0" upright="1">
                          <a:noAutofit/>
                        </wps:bodyPr>
                      </wps:wsp>
                      <wps:wsp>
                        <wps:cNvPr id="15" name="Rectangle 16"/>
                        <wps:cNvSpPr>
                          <a:spLocks noChangeArrowheads="1"/>
                        </wps:cNvSpPr>
                        <wps:spPr bwMode="auto">
                          <a:xfrm>
                            <a:off x="875666" y="1069781"/>
                            <a:ext cx="228600" cy="1600200"/>
                          </a:xfrm>
                          <a:prstGeom prst="rect">
                            <a:avLst/>
                          </a:prstGeom>
                          <a:gradFill rotWithShape="1">
                            <a:gsLst>
                              <a:gs pos="0">
                                <a:srgbClr val="FFFF00">
                                  <a:alpha val="56000"/>
                                </a:srgbClr>
                              </a:gs>
                              <a:gs pos="100000">
                                <a:srgbClr val="FFFF00">
                                  <a:alpha val="56000"/>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16" name="Rectangle 17"/>
                        <wps:cNvSpPr>
                          <a:spLocks noChangeArrowheads="1"/>
                        </wps:cNvSpPr>
                        <wps:spPr bwMode="auto">
                          <a:xfrm>
                            <a:off x="3847466" y="1869881"/>
                            <a:ext cx="1028700" cy="800100"/>
                          </a:xfrm>
                          <a:prstGeom prst="rect">
                            <a:avLst/>
                          </a:prstGeom>
                          <a:solidFill>
                            <a:srgbClr val="800000"/>
                          </a:solidFill>
                          <a:ln w="9525">
                            <a:solidFill>
                              <a:srgbClr val="000000"/>
                            </a:solidFill>
                            <a:miter lim="800000"/>
                            <a:headEnd/>
                            <a:tailEnd/>
                          </a:ln>
                        </wps:spPr>
                        <wps:bodyPr rot="0" vert="horz" wrap="square" lIns="91440" tIns="45720" rIns="91440" bIns="45720" anchor="t" anchorCtr="0" upright="1">
                          <a:noAutofit/>
                        </wps:bodyPr>
                      </wps:wsp>
                      <wps:wsp>
                        <wps:cNvPr id="17" name="Rectangle 18"/>
                        <wps:cNvSpPr>
                          <a:spLocks noChangeArrowheads="1"/>
                        </wps:cNvSpPr>
                        <wps:spPr bwMode="auto">
                          <a:xfrm>
                            <a:off x="1104266" y="155381"/>
                            <a:ext cx="228600" cy="2514600"/>
                          </a:xfrm>
                          <a:prstGeom prst="rect">
                            <a:avLst/>
                          </a:prstGeom>
                          <a:gradFill rotWithShape="1">
                            <a:gsLst>
                              <a:gs pos="0">
                                <a:srgbClr val="FFFF00">
                                  <a:alpha val="56000"/>
                                </a:srgbClr>
                              </a:gs>
                              <a:gs pos="100000">
                                <a:srgbClr val="FFFF00">
                                  <a:alpha val="56000"/>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18" name="Rectangle 19"/>
                        <wps:cNvSpPr>
                          <a:spLocks noChangeArrowheads="1"/>
                        </wps:cNvSpPr>
                        <wps:spPr bwMode="auto">
                          <a:xfrm>
                            <a:off x="713741" y="1412681"/>
                            <a:ext cx="161925" cy="1257300"/>
                          </a:xfrm>
                          <a:prstGeom prst="rect">
                            <a:avLst/>
                          </a:prstGeom>
                          <a:gradFill rotWithShape="1">
                            <a:gsLst>
                              <a:gs pos="0">
                                <a:srgbClr val="FFFF00">
                                  <a:alpha val="56000"/>
                                </a:srgbClr>
                              </a:gs>
                              <a:gs pos="100000">
                                <a:srgbClr val="FFFF00">
                                  <a:alpha val="56000"/>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19" name="Rectangle 20"/>
                        <wps:cNvSpPr>
                          <a:spLocks noChangeArrowheads="1"/>
                        </wps:cNvSpPr>
                        <wps:spPr bwMode="auto">
                          <a:xfrm>
                            <a:off x="647066" y="2207701"/>
                            <a:ext cx="228600" cy="457200"/>
                          </a:xfrm>
                          <a:prstGeom prst="rect">
                            <a:avLst/>
                          </a:prstGeom>
                          <a:gradFill rotWithShape="1">
                            <a:gsLst>
                              <a:gs pos="0">
                                <a:srgbClr val="99CC00">
                                  <a:alpha val="67999"/>
                                </a:srgbClr>
                              </a:gs>
                              <a:gs pos="100000">
                                <a:srgbClr val="99CC00">
                                  <a:alpha val="67999"/>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20" name="Rectangle 21"/>
                        <wps:cNvSpPr>
                          <a:spLocks noChangeArrowheads="1"/>
                        </wps:cNvSpPr>
                        <wps:spPr bwMode="auto">
                          <a:xfrm>
                            <a:off x="1218566" y="1526981"/>
                            <a:ext cx="114300" cy="1143000"/>
                          </a:xfrm>
                          <a:prstGeom prst="rect">
                            <a:avLst/>
                          </a:prstGeom>
                          <a:gradFill rotWithShape="1">
                            <a:gsLst>
                              <a:gs pos="0">
                                <a:srgbClr val="99CC00">
                                  <a:alpha val="69000"/>
                                </a:srgbClr>
                              </a:gs>
                              <a:gs pos="100000">
                                <a:srgbClr val="99CC00">
                                  <a:alpha val="69000"/>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21" name="Rectangle 22"/>
                        <wps:cNvSpPr>
                          <a:spLocks noChangeArrowheads="1"/>
                        </wps:cNvSpPr>
                        <wps:spPr bwMode="auto">
                          <a:xfrm>
                            <a:off x="875666" y="1984181"/>
                            <a:ext cx="342900" cy="685800"/>
                          </a:xfrm>
                          <a:prstGeom prst="rect">
                            <a:avLst/>
                          </a:prstGeom>
                          <a:gradFill rotWithShape="1">
                            <a:gsLst>
                              <a:gs pos="0">
                                <a:srgbClr val="99CC00">
                                  <a:alpha val="69000"/>
                                </a:srgbClr>
                              </a:gs>
                              <a:gs pos="100000">
                                <a:srgbClr val="99CC00">
                                  <a:alpha val="69000"/>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22" name="Rectangle 23"/>
                        <wps:cNvSpPr>
                          <a:spLocks noChangeArrowheads="1"/>
                        </wps:cNvSpPr>
                        <wps:spPr bwMode="auto">
                          <a:xfrm>
                            <a:off x="418466" y="2493451"/>
                            <a:ext cx="228600" cy="176530"/>
                          </a:xfrm>
                          <a:prstGeom prst="rect">
                            <a:avLst/>
                          </a:prstGeom>
                          <a:gradFill rotWithShape="1">
                            <a:gsLst>
                              <a:gs pos="0">
                                <a:srgbClr val="99CC00">
                                  <a:alpha val="81000"/>
                                </a:srgbClr>
                              </a:gs>
                              <a:gs pos="100000">
                                <a:srgbClr val="99CC00">
                                  <a:alpha val="81000"/>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23" name="Rectangle 24"/>
                        <wps:cNvSpPr>
                          <a:spLocks noChangeArrowheads="1"/>
                        </wps:cNvSpPr>
                        <wps:spPr bwMode="auto">
                          <a:xfrm>
                            <a:off x="761366" y="3241481"/>
                            <a:ext cx="114300" cy="114300"/>
                          </a:xfrm>
                          <a:prstGeom prst="rect">
                            <a:avLst/>
                          </a:prstGeom>
                          <a:solidFill>
                            <a:srgbClr val="800000"/>
                          </a:solidFill>
                          <a:ln w="9525">
                            <a:solidFill>
                              <a:srgbClr val="000000"/>
                            </a:solidFill>
                            <a:miter lim="800000"/>
                            <a:headEnd/>
                            <a:tailEnd/>
                          </a:ln>
                        </wps:spPr>
                        <wps:bodyPr rot="0" vert="horz" wrap="square" lIns="91440" tIns="45720" rIns="91440" bIns="45720" anchor="t" anchorCtr="0" upright="1">
                          <a:noAutofit/>
                        </wps:bodyPr>
                      </wps:wsp>
                      <wps:wsp>
                        <wps:cNvPr id="24" name="Rectangle 25"/>
                        <wps:cNvSpPr>
                          <a:spLocks noChangeArrowheads="1"/>
                        </wps:cNvSpPr>
                        <wps:spPr bwMode="auto">
                          <a:xfrm>
                            <a:off x="761366" y="3470081"/>
                            <a:ext cx="114300" cy="114300"/>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wps:wsp>
                        <wps:cNvPr id="25" name="Rectangle 26"/>
                        <wps:cNvSpPr>
                          <a:spLocks noChangeArrowheads="1"/>
                        </wps:cNvSpPr>
                        <wps:spPr bwMode="auto">
                          <a:xfrm>
                            <a:off x="2389809" y="3272675"/>
                            <a:ext cx="114300" cy="114300"/>
                          </a:xfrm>
                          <a:prstGeom prst="rect">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wps:wsp>
                        <wps:cNvPr id="26" name="Rectangle 27"/>
                        <wps:cNvSpPr>
                          <a:spLocks noChangeArrowheads="1"/>
                        </wps:cNvSpPr>
                        <wps:spPr bwMode="auto">
                          <a:xfrm>
                            <a:off x="2407422" y="3470112"/>
                            <a:ext cx="114300" cy="1143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27" name="Text Box 28"/>
                        <wps:cNvSpPr txBox="1">
                          <a:spLocks noChangeArrowheads="1"/>
                        </wps:cNvSpPr>
                        <wps:spPr bwMode="auto">
                          <a:xfrm>
                            <a:off x="856616" y="3193856"/>
                            <a:ext cx="2743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3A5" w:rsidRPr="001B7A5F" w:rsidRDefault="00F013A5" w:rsidP="00F013A5">
                              <w:pPr>
                                <w:rPr>
                                  <w:sz w:val="20"/>
                                  <w:szCs w:val="20"/>
                                </w:rPr>
                              </w:pPr>
                              <w:r>
                                <w:rPr>
                                  <w:sz w:val="20"/>
                                  <w:szCs w:val="20"/>
                                </w:rPr>
                                <w:t>High-income minimisers</w:t>
                              </w:r>
                            </w:p>
                          </w:txbxContent>
                        </wps:txbx>
                        <wps:bodyPr rot="0" vert="horz" wrap="square" lIns="91440" tIns="45720" rIns="91440" bIns="45720" anchor="t" anchorCtr="0" upright="1">
                          <a:noAutofit/>
                        </wps:bodyPr>
                      </wps:wsp>
                      <wps:wsp>
                        <wps:cNvPr id="28" name="Text Box 29"/>
                        <wps:cNvSpPr txBox="1">
                          <a:spLocks noChangeArrowheads="1"/>
                        </wps:cNvSpPr>
                        <wps:spPr bwMode="auto">
                          <a:xfrm>
                            <a:off x="847091" y="3402298"/>
                            <a:ext cx="2743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3A5" w:rsidRPr="001B7A5F" w:rsidRDefault="00F013A5" w:rsidP="00F013A5">
                              <w:pPr>
                                <w:rPr>
                                  <w:sz w:val="20"/>
                                  <w:szCs w:val="20"/>
                                </w:rPr>
                              </w:pPr>
                              <w:r>
                                <w:rPr>
                                  <w:sz w:val="20"/>
                                  <w:szCs w:val="20"/>
                                </w:rPr>
                                <w:t>High-income maximisers</w:t>
                              </w:r>
                            </w:p>
                          </w:txbxContent>
                        </wps:txbx>
                        <wps:bodyPr rot="0" vert="horz" wrap="square" lIns="91440" tIns="45720" rIns="91440" bIns="45720" anchor="t" anchorCtr="0" upright="1">
                          <a:noAutofit/>
                        </wps:bodyPr>
                      </wps:wsp>
                      <wps:wsp>
                        <wps:cNvPr id="29" name="Text Box 30"/>
                        <wps:cNvSpPr txBox="1">
                          <a:spLocks noChangeArrowheads="1"/>
                        </wps:cNvSpPr>
                        <wps:spPr bwMode="auto">
                          <a:xfrm>
                            <a:off x="2541180" y="3202579"/>
                            <a:ext cx="2743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3A5" w:rsidRPr="001B7A5F" w:rsidRDefault="00F013A5" w:rsidP="00F013A5">
                              <w:pPr>
                                <w:rPr>
                                  <w:sz w:val="20"/>
                                  <w:szCs w:val="20"/>
                                </w:rPr>
                              </w:pPr>
                              <w:r>
                                <w:rPr>
                                  <w:sz w:val="20"/>
                                  <w:szCs w:val="20"/>
                                </w:rPr>
                                <w:t>Low-income minimisers</w:t>
                              </w:r>
                            </w:p>
                          </w:txbxContent>
                        </wps:txbx>
                        <wps:bodyPr rot="0" vert="horz" wrap="square" lIns="91440" tIns="45720" rIns="91440" bIns="45720" anchor="t" anchorCtr="0" upright="1">
                          <a:noAutofit/>
                        </wps:bodyPr>
                      </wps:wsp>
                      <wps:wsp>
                        <wps:cNvPr id="30" name="Text Box 31"/>
                        <wps:cNvSpPr txBox="1">
                          <a:spLocks noChangeArrowheads="1"/>
                        </wps:cNvSpPr>
                        <wps:spPr bwMode="auto">
                          <a:xfrm>
                            <a:off x="2541170" y="3391678"/>
                            <a:ext cx="2743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3A5" w:rsidRPr="001B7A5F" w:rsidRDefault="00F013A5" w:rsidP="00F013A5">
                              <w:pPr>
                                <w:rPr>
                                  <w:sz w:val="20"/>
                                  <w:szCs w:val="20"/>
                                </w:rPr>
                              </w:pPr>
                              <w:r>
                                <w:rPr>
                                  <w:sz w:val="20"/>
                                  <w:szCs w:val="20"/>
                                </w:rPr>
                                <w:t>Low-income maximisers</w:t>
                              </w:r>
                            </w:p>
                          </w:txbxContent>
                        </wps:txbx>
                        <wps:bodyPr rot="0" vert="horz" wrap="square" lIns="91440" tIns="45720" rIns="91440" bIns="45720" anchor="t" anchorCtr="0" upright="1">
                          <a:noAutofit/>
                        </wps:bodyPr>
                      </wps:wsp>
                      <wps:wsp>
                        <wps:cNvPr id="32" name="Text Box 33"/>
                        <wps:cNvSpPr txBox="1">
                          <a:spLocks noChangeArrowheads="1"/>
                        </wps:cNvSpPr>
                        <wps:spPr bwMode="auto">
                          <a:xfrm>
                            <a:off x="656591" y="2950651"/>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3A5" w:rsidRDefault="00F013A5" w:rsidP="00F013A5">
                              <w:smartTag w:uri="urn:schemas-microsoft-com:office:smarttags" w:element="stockticker">
                                <w:r>
                                  <w:t>KEY</w:t>
                                </w:r>
                              </w:smartTag>
                              <w:r>
                                <w:t>:</w:t>
                              </w:r>
                            </w:p>
                          </w:txbxContent>
                        </wps:txbx>
                        <wps:bodyPr rot="0" vert="horz" wrap="square" lIns="91440" tIns="45720" rIns="91440" bIns="45720" anchor="t" anchorCtr="0" upright="1">
                          <a:noAutofit/>
                        </wps:bodyPr>
                      </wps:wsp>
                      <wps:wsp>
                        <wps:cNvPr id="33" name="Rectangle 34"/>
                        <wps:cNvSpPr>
                          <a:spLocks noChangeArrowheads="1"/>
                        </wps:cNvSpPr>
                        <wps:spPr bwMode="auto">
                          <a:xfrm>
                            <a:off x="3618866" y="2207701"/>
                            <a:ext cx="228600" cy="457200"/>
                          </a:xfrm>
                          <a:prstGeom prst="rect">
                            <a:avLst/>
                          </a:prstGeom>
                          <a:solidFill>
                            <a:srgbClr val="800000"/>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4" o:spid="_x0000_s1027" editas="canvas" style="position:absolute;margin-left:18pt;margin-top:65.3pt;width:453.75pt;height:298pt;z-index:251667456" coordsize="57626,37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nLbwgAAKxhAAAOAAAAZHJzL2Uyb0RvYy54bWzsXVuPm0YUfq/U/4B4d8wMwwBWvFFir6tK&#10;aRs1qfo8a2MbFYMLZO206n/vmQt4AGeVrG3izc4+7BrDjofhXL/znfHLV/tNYt1HeRFn6dhGLxzb&#10;itJ5tojT1dj+48NsENhWUbJ0wZIsjcb2p6iwX938+MPL3XYU4WydJYsot2CQtBjttmN7XZbb0XBY&#10;zNfRhhUvsm2Uwslllm9YCYf5arjI2Q5G3yRD7Dh0uMvyxTbP5lFRwLtTedK+EeMvl9G8/G25LKLS&#10;SsY2zK0Uv3Px+47/Ht68ZKNVzrbreK6mwR4xiw2LU/jQeqgpK5n1MY87Q23ieZ4V2bJ8Mc82w2y5&#10;jOeRuAe4G+S07mbC0ntWiJuZw+pUE4RXZxz3bsXnnWazOElgNYYw+oi/x//u4PlE/HSSNi+S74hr&#10;1TW7LTzAYls/yuK0Kb5fs20k7rwYzX+9f5db8WJsu7aVsg2I0e/wYFm6SiLL44+Qfzhc9X77Lufz&#10;LLZvs/lfhZVmkzVcFb3O82y3jtgCJoX49TBx7R/4QQH/at3tfskWMDr7WGbiae6X+YYPCM/J2o9t&#10;ggJCqW19GtuY0kAKT7QvrTk/SQPqOiBjc3EaByEc8M9io2qYbV6UP0XZxuIvxnYONyE+ht2/LUp5&#10;aXWJuI0siRf8sYiDfHU3SXLrnoEkz8SPGr3QL0tSaze2Qw97YuTGuUIfwhE/x4bYxCWoZBJvxnZQ&#10;X8RGfP1u0wVMk41KFifyNdwdlw2xoHwN5bO4yxafYD3zTOob2Ad4sc7yf2xrB7o2tou/P7I8sq3k&#10;5xSeSYgI4copDojnYzjI9TN3+hmWzmGosV3alnw5KaVCf9zm8WoNn4TEvafZa3iOy1isLH/GclZq&#10;siCrcq4XF1rSFVrK170hg70ILQoxCj2hAWxUyS32iQuWVMqtTwLHvaDYUlorRUM0jdhendh6XbH1&#10;exRbF1FElbFFDg39oCW3LsHcwgpzi0CsuAxfzNwauX0y5tbvyq3w1D2ZW9dziKfkNiAItcUWIQJR&#10;QiW3AQ7Axxq5FQH58w4TIFFqx7Zhj/ZWj20JQW5bbnmMQCq5xTg4OPKzR7eHqBOiSxMmXHd0G3bF&#10;FgmD1pO91eXWCQPSllsMuZAPsQzPyjwfeadaW8AKRE7Gk5s/43ItEtUq5VgVkMjxBGlVWNsMMhtH&#10;ZmF64sVTN5gEv4ol2zWTGZ0H+lT5AZWnidRxVejDIZmP8bcayZw25optNkwkacWaLSI5OqF8DcS7&#10;cXr/U33JF04A1LC+syROIe0CcMcDa8DnbBVzlkSLKrMWEEidtZq4/urietBO5Wg+8BTwTba3kAit&#10;NYW1yj28X0n1peAUJJAU5HldZ0MwpkppseP53PFcLLbnyqNGbzkbrmcHYKxCwWDVlJbz9RMg378h&#10;wsR5g8PBjAb+gMyINwh9Jxg4KHwTUoeEZDr7j+s8IqN1vFhE6ds4jSrAEZEvA8sU9CmhQgE59g32&#10;NKYvDBSsQfVXrEoLCSr3d3sB3dUidhQb4qEf9kEynx88BMrX0UfcCvz60UfXDR3ANSt8MwzbvhSR&#10;gHqu0kuVf5+klrVyVbpVv6FwRQFTdbXNCW+D24AMCKa3A+JMp4PXswkZ0Bnyvak7nUymqKltHEU9&#10;XduE39XR1o4TPmZJhgell2Au3JvQGonBGQPyZQak1omjBuS5gssIV9bjUBJBbst8CLm9VE2EEr/C&#10;O5CHacdoCDy/wjsU+HGS0Wg46YYGmsTxCZVFQEo7gAci30xyu0GoLrjYQ+SCiMdsZgDmJwMwg5B2&#10;BbfXMnTg89qIzJ4IwrQdpyl4TpZGsOfzsrQxuZz/8bwhZnSkpof6rEUHPFRQgnusptcQXLC3J9f0&#10;rh2tMwDcM0z4QQHalR7Ua2k9IH7FY0IBROxt/4EcHPgc2uWgOQTVADsb/2FKlDZIaVdy+yyuI+QA&#10;5KMcyBHcWPcfZwnZjf8wfMKqDHItfEJ0hCmA+qQK+Mj1iSreHEs/gLkVAv/0fOmH0UKjhVenhUeI&#10;D8BbhjRbq6NeEngF3NWpijXY8X2nxY/UfaGCsk7CAE5WwjCcTCCQ5GuipT3UD0NhvDjXR/IkvoL4&#10;8PVjGi7Dd0St540C7VQK15XmHjpCEEbBg9UPSfdUvvAc1Y9LqSFwqask72xq+MCYRg2/JzWsKQyH&#10;IiSu67U9qKGOKwIHsEO61nsFaOCdTLk2SmgC0msLSEHhur6wVyaA1h1JQpd0Gs0kaVymhT4QiSp/&#10;80gC+YWUMOAkWwV3nssTPjSm8YTfkyc8QmrAfZIaoDLsqqzQxQQIe62ssBuPGmTfIPs2yGjXefTJ&#10;adDlFoAN59vJreHiPCESGYeZOwBAn4wG7AZh4AAWCJVSF/uYVn02vDeAbwvRn8FVWJgE+RokSdOF&#10;c3VdOPgICQD3SQKAfhUfumyk4ILFRcAkBtE57AvRn+Cq7jUjuGJjkyvfzQSEVFncun0MtykA/bSr&#10;cOAV2GvC8qLQhcOmADc2NgHWAGe0nFQBqZtTTLeKaXdTTYCfa3ergRfTraLt3wWWomM82syFnowH&#10;uLxQchhc4mActnbzMsajtfVCo9GGe2zT6ibcyec3Rnt8r2wNGBnjoRuPmnFRRx4SQtYIF/0YD+zx&#10;jX2g9iySPgc6LIQRO8TOxnoY68H5LHqv8Fduq/h461HDdsZ6aNYDTEU79HDbTJEerQff64BbDzdE&#10;1DexR7rSNrUQrDlddUzsMerNetTgqbEeuvWoi+uH2KNO8RTBpR/rQT3qqcQFtrZyaLvKrtp1RJXd&#10;bNFRc0of3jfZbNGhbej8+Mijxq+N7dBtxxFOgFuneD2w41yKgqBPqngj7m04b7NDx3mKqwA7im8E&#10;kFR5+fUF/DsH9GN4rX/Jws3/AAAA//8DAFBLAwQUAAYACAAAACEAjFTNc98AAAAKAQAADwAAAGRy&#10;cy9kb3ducmV2LnhtbEyPwU7DMBBE70j8g7VIXBB1aMBAiFOhSj2CSoPE1YkXJ2q8jmK3DXw9ywmO&#10;szOafVOuZj+II06xD6ThZpGBQGqD7clpeK831w8gYjJkzRAINXxhhFV1flaawoYTveFxl5zgEoqF&#10;0dClNBZSxrZDb+IijEjsfYbJm8RyctJO5sTlfpDLLFPSm574Q2dGXHfY7ncHr8Htv936pU5+k+Z6&#10;uyV59ZE3r1pfXszPTyASzukvDL/4jA4VMzXhQDaKQUOueErie54pEBx4vM3vQDQa7pdKgaxK+X9C&#10;9QMAAP//AwBQSwECLQAUAAYACAAAACEAtoM4kv4AAADhAQAAEwAAAAAAAAAAAAAAAAAAAAAAW0Nv&#10;bnRlbnRfVHlwZXNdLnhtbFBLAQItABQABgAIAAAAIQA4/SH/1gAAAJQBAAALAAAAAAAAAAAAAAAA&#10;AC8BAABfcmVscy8ucmVsc1BLAQItABQABgAIAAAAIQBVybnLbwgAAKxhAAAOAAAAAAAAAAAAAAAA&#10;AC4CAABkcnMvZTJvRG9jLnhtbFBLAQItABQABgAIAAAAIQCMVM1z3wAAAAoBAAAPAAAAAAAAAAAA&#10;AAAAAMkKAABkcnMvZG93bnJldi54bWxQSwUGAAAAAAQABADzAAAA1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626;height:37846;visibility:visible;mso-wrap-style:square">
                  <v:fill o:detectmouseclick="t"/>
                  <v:path o:connecttype="none"/>
                </v:shape>
                <v:rect id="Rectangle 5" o:spid="_x0000_s1029" style="position:absolute;left:4184;top:26;width:46863;height:26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6" o:spid="_x0000_s1030" style="position:absolute;left:4184;top:19219;width:27432;height:7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McUA&#10;AADaAAAADwAAAGRycy9kb3ducmV2LnhtbESPQWvCQBSE70L/w/IKXkQ3lSISXUWKbVLopSqKt0f2&#10;mQ1m34bsatL++m6h0OMwM98wy3Vva3Gn1leOFTxNEhDEhdMVlwoO+9fxHIQPyBprx6TgizysVw+D&#10;JabadfxJ910oRYSwT1GBCaFJpfSFIYt+4hri6F1cazFE2ZZSt9hFuK3lNElm0mLFccFgQy+Giuvu&#10;ZhUcR2/n7fspM6Ptt+vneZd93PJMqeFjv1mACNSH//BfO9cKnuH3Sr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D6YxxQAAANoAAAAPAAAAAAAAAAAAAAAAAJgCAABkcnMv&#10;ZG93bnJldi54bWxQSwUGAAAAAAQABAD1AAAAigMAAAAA&#10;" fillcolor="#f60"/>
                <v:rect id="Rectangle 7" o:spid="_x0000_s1031" style="position:absolute;left:31616;top:10697;width:3429;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MDqsUA&#10;AADaAAAADwAAAGRycy9kb3ducmV2LnhtbESPQWvCQBSE70L/w/IKXkQ3FSoSXUWKbVLopSqKt0f2&#10;mQ1m34bsatL++m6h0OMwM98wy3Vva3Gn1leOFTxNEhDEhdMVlwoO+9fxHIQPyBprx6TgizysVw+D&#10;JabadfxJ910oRYSwT1GBCaFJpfSFIYt+4hri6F1cazFE2ZZSt9hFuK3lNElm0mLFccFgQy+Giuvu&#10;ZhUcR2/n7fspM6Ptt+vneZd93PJMqeFjv1mACNSH//BfO9cKnuH3Sr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QwOqxQAAANoAAAAPAAAAAAAAAAAAAAAAAJgCAABkcnMv&#10;ZG93bnJldi54bWxQSwUGAAAAAAQABAD1AAAAigMAAAAA&#10;" fillcolor="#f60"/>
                <v:rect id="Rectangle 8" o:spid="_x0000_s1032" style="position:absolute;left:35045;top:8411;width:11430;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4RsUA&#10;AADaAAAADwAAAGRycy9kb3ducmV2LnhtbESPQWvCQBSE70L/w/IKXkQ39VAluooU26TQS1UUb4/s&#10;MxvMvg3Z1aT99d1CocdhZr5hluve1uJOra8cK3iaJCCIC6crLhUc9q/jOQgfkDXWjknBF3lYrx4G&#10;S0y16/iT7rtQighhn6ICE0KTSukLQxb9xDXE0bu41mKIsi2lbrGLcFvLaZI8S4sVxwWDDb0YKq67&#10;m1VwHL2dt++nzIy2366f5132ccszpYaP/WYBIlAf/sN/7VwrmMHvlXg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3ThGxQAAANoAAAAPAAAAAAAAAAAAAAAAAJgCAABkcnMv&#10;ZG93bnJldi54bWxQSwUGAAAAAAQABAD1AAAAigMAAAAA&#10;" fillcolor="#f60"/>
                <v:rect id="Rectangle 9" o:spid="_x0000_s1033" style="position:absolute;left:4184;top:24413;width:3200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0dOMEA&#10;AADaAAAADwAAAGRycy9kb3ducmV2LnhtbERPPWvDMBDdC/kP4gJdSiwn0FKcKCGEFAJtB7tevB3W&#10;xTaxTsJSY/XfV0Oh4+N97w7RjOJOkx8sK1hnOQji1uqBOwX119vqFYQPyBpHy6Tghzwc9ouHHRba&#10;zlzSvQqdSCHsC1TQh+AKKX3bk0GfWUecuKudDIYEp07qCecUbka5yfMXaXDg1NCjo1NP7a36Ngoi&#10;nZon/XGu3Pvw6WJdNuvnvFHqcRmPWxCBYvgX/7kvWkHamq6kG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dHTjBAAAA2gAAAA8AAAAAAAAAAAAAAAAAmAIAAGRycy9kb3du&#10;cmV2LnhtbFBLBQYAAAAABAAEAPUAAACGAwAAAAA=&#10;" fillcolor="maroon"/>
                <v:rect id="Rectangle 10" o:spid="_x0000_s1034" style="position:absolute;left:4184;top:20984;width:295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xssMA&#10;AADaAAAADwAAAGRycy9kb3ducmV2LnhtbESPW2vCQBSE3wX/w3IEX6RuDFXa6CoqWIpvXlD6dsie&#10;XDB7NmTXGP+9Wyj0cZiZb5jFqjOVaKlxpWUFk3EEgji1uuRcwfm0e/sA4TyyxsoyKXiSg9Wy31tg&#10;ou2DD9QefS4ChF2CCgrv60RKlxZk0I1tTRy8zDYGfZBNLnWDjwA3lYyjaCYNlhwWCqxpW1B6O96N&#10;gi+cxVmc/Uz3h/fN5SpH7YbqVqnhoFvPQXjq/H/4r/2tFXzC75Vw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exssMAAADaAAAADwAAAAAAAAAAAAAAAACYAgAAZHJzL2Rv&#10;d25yZXYueG1sUEsFBgAAAAAEAAQA9QAAAIgDAAAAAA==&#10;" fillcolor="yellow">
                  <v:fill opacity="36700f" color2="#767600" o:opacity2="36700f" rotate="t" focus="100%" type="gradient"/>
                </v:rect>
                <v:shape id="Text Box 11" o:spid="_x0000_s1035" type="#_x0000_t202" style="position:absolute;top:1553;width:3422;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zz8MA&#10;AADbAAAADwAAAGRycy9kb3ducmV2LnhtbESPQWvCQBCF7wX/wzKCt7pRQUrqKlYoCIJQGzwP2Wk2&#10;NTsbstsY/fWdg+BthvfmvW9Wm8E3qqcu1oENzKYZKOIy2JorA8X35+sbqJiQLTaBycCNImzWo5cV&#10;5jZc+Yv6U6qUhHDM0YBLqc21jqUjj3EaWmLRfkLnMcnaVdp2eJVw3+h5li21x5qlwWFLO0fl5fTn&#10;DfTZvSgXGPTh+LssLls3/+iPZ2Mm42H7DirRkJ7mx/XeCr7Qyy8y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Yzz8MAAADbAAAADwAAAAAAAAAAAAAAAACYAgAAZHJzL2Rv&#10;d25yZXYueG1sUEsFBgAAAAAEAAQA9QAAAIgDAAAAAA==&#10;" stroked="f">
                  <v:textbox style="layout-flow:vertical;mso-layout-flow-alt:bottom-to-top">
                    <w:txbxContent>
                      <w:p w:rsidR="00F013A5" w:rsidRDefault="00F013A5" w:rsidP="00F013A5">
                        <w:r>
                          <w:t>Emission intensity, kgCO2e/£</w:t>
                        </w:r>
                      </w:p>
                    </w:txbxContent>
                  </v:textbox>
                </v:shape>
                <v:shape id="Text Box 12" o:spid="_x0000_s1036" type="#_x0000_t202" style="position:absolute;left:33902;top:26699;width:1486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F013A5" w:rsidRDefault="00F013A5" w:rsidP="00F013A5">
                        <w:r>
                          <w:t>Expenditure, £</w:t>
                        </w:r>
                      </w:p>
                    </w:txbxContent>
                  </v:textbox>
                </v:shape>
                <v:rect id="Rectangle 13" o:spid="_x0000_s1037" style="position:absolute;left:46475;top:15269;width:4572;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Z/dMEA&#10;AADbAAAADwAAAGRycy9kb3ducmV2LnhtbERPTYvCMBC9L/gfwgh7WTRVUKQaRcSFhXUPVi+9Dc3Y&#10;FptJaLKa/fdGWPA2j/c5q000nbhR71vLCibjDARxZXXLtYLz6XO0AOEDssbOMin4Iw+b9eBthbm2&#10;dz7SrQi1SCHsc1TQhOByKX3VkEE/to44cRfbGwwJ9rXUPd5TuOnkNMvm0mDLqaFBR7uGqmvxaxRE&#10;2pUf+rAv3Hf74+L5WE5mWanU+zBulyACxfAS/7u/dJo/hecv6Q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mf3TBAAAA2wAAAA8AAAAAAAAAAAAAAAAAmAIAAGRycy9kb3du&#10;cmV2LnhtbFBLBQYAAAAABAAEAPUAAACGAwAAAAA=&#10;" fillcolor="maroon"/>
                <v:rect id="Rectangle 14" o:spid="_x0000_s1038" style="position:absolute;left:46475;top:1553;width:4572;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JtNMQA&#10;AADbAAAADwAAAGRycy9kb3ducmV2LnhtbERPTWvCQBC9C/0PyxS8iG5qQSS6ihTbpNBLVRRvQ3bM&#10;BrOzIbuatL++Wyj0No/3Oct1b2txp9ZXjhU8TRIQxIXTFZcKDvvX8RyED8gaa8ek4Is8rFcPgyWm&#10;2nX8SfddKEUMYZ+iAhNCk0rpC0MW/cQ1xJG7uNZiiLAtpW6xi+G2ltMkmUmLFccGgw29GCquu5tV&#10;cBy9nbfvp8yMtt+un+dd9nHLM6WGj/1mASJQH/7Ff+5cx/nP8PtLP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SbTTEAAAA2wAAAA8AAAAAAAAAAAAAAAAAmAIAAGRycy9k&#10;b3ducmV2LnhtbFBLBQYAAAAABAAEAPUAAACJAwAAAAA=&#10;" fillcolor="#f60"/>
                <v:rect id="Rectangle 15" o:spid="_x0000_s1039" style="position:absolute;left:48761;top:14126;width:2286;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NCm8IA&#10;AADbAAAADwAAAGRycy9kb3ducmV2LnhtbERPTWvCQBC9C/0Pywi9SN1YbCnRTShioWB7MPWS25Ad&#10;k2B2dsmuuv333YLgbR7vc9ZlNIO40Oh7ywoW8wwEcWN1z62Cw8/H0xsIH5A1DpZJwS95KIuHyRpz&#10;ba+8p0sVWpFC2OeooAvB5VL6piODfm4dceKOdjQYEhxbqUe8pnAzyOcse5UGe04NHTradNScqrNR&#10;EGlTz/TXtnK7/tvFw75evGS1Uo/T+L4CESiGu/jm/tRp/hL+f0kH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0KbwgAAANsAAAAPAAAAAAAAAAAAAAAAAJgCAABkcnMvZG93&#10;bnJldi54bWxQSwUGAAAAAAQABAD1AAAAhwMAAAAA&#10;" fillcolor="maroon"/>
                <v:rect id="Rectangle 16" o:spid="_x0000_s1040" style="position:absolute;left:8756;top:10697;width:2286;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rvMIA&#10;AADbAAAADwAAAGRycy9kb3ducmV2LnhtbERPTWvCQBC9F/oflin0VjdtiEp0DVJoES+lGjwP2TGJ&#10;zc7G7DaJ/vpuQfA2j/c5y2w0jeipc7VlBa+TCARxYXXNpYJ8//EyB+E8ssbGMim4kINs9fiwxFTb&#10;gb+p3/lShBB2KSqovG9TKV1RkUE3sS1x4I62M+gD7EqpOxxCuGnkWxRNpcGaQ0OFLb1XVPzsfo2C&#10;sj8l2sd86vOvOPm81tvDLD4r9fw0rhcgPI3+Lr65NzrMT+D/l3C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eu8wgAAANsAAAAPAAAAAAAAAAAAAAAAAJgCAABkcnMvZG93&#10;bnJldi54bWxQSwUGAAAAAAQABAD1AAAAhwMAAAAA&#10;" fillcolor="yellow">
                  <v:fill opacity="36700f" color2="yellow" o:opacity2="36700f" rotate="t" focus="100%" type="gradient"/>
                </v:rect>
                <v:rect id="Rectangle 17" o:spid="_x0000_s1041" style="position:absolute;left:38474;top:18698;width:10287;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15d8IA&#10;AADbAAAADwAAAGRycy9kb3ducmV2LnhtbERPTWsCMRC9F/wPYYReimYtVGQ1ioiFgu3BdS97Gzbj&#10;7uJmEjappv/eCEJv83ifs9pE04srDb6zrGA2zUAQ11Z33CgoT5+TBQgfkDX2lknBH3nYrEcvK8y1&#10;vfGRrkVoRAphn6OCNgSXS+nrlgz6qXXEiTvbwWBIcGikHvCWwk0v37NsLg12nBpadLRrqb4Uv0ZB&#10;pF31pr/3hTt0Py6Wx2r2kVVKvY7jdgkiUAz/4qf7S6f5c3j8kg6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Xl3wgAAANsAAAAPAAAAAAAAAAAAAAAAAJgCAABkcnMvZG93&#10;bnJldi54bWxQSwUGAAAAAAQABAD1AAAAhwMAAAAA&#10;" fillcolor="maroon"/>
                <v:rect id="Rectangle 18" o:spid="_x0000_s1042" style="position:absolute;left:11042;top:1553;width:2286;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fQUMEA&#10;AADbAAAADwAAAGRycy9kb3ducmV2LnhtbERPS4vCMBC+C/6HMII3TbX4oBpFBGXZy7IqnodmbKvN&#10;pDaxdvfXbxYEb/PxPWe5bk0pGqpdYVnBaBiBIE6tLjhTcDruBnMQziNrLC2Tgh9ysF51O0tMtH3y&#10;NzUHn4kQwi5BBbn3VSKlS3My6Ia2Ig7cxdYGfYB1JnWNzxBuSjmOoqk0WHBoyLGibU7p7fAwCrLm&#10;OtE+5mtz+oon+9/i8zyL70r1e+1mAcJT69/il/tDh/kz+P8lHC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n0FDBAAAA2wAAAA8AAAAAAAAAAAAAAAAAmAIAAGRycy9kb3du&#10;cmV2LnhtbFBLBQYAAAAABAAEAPUAAACGAwAAAAA=&#10;" fillcolor="yellow">
                  <v:fill opacity="36700f" color2="yellow" o:opacity2="36700f" rotate="t" focus="100%" type="gradient"/>
                </v:rect>
                <v:rect id="Rectangle 19" o:spid="_x0000_s1043" style="position:absolute;left:7137;top:14126;width:161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hEIsQA&#10;AADbAAAADwAAAGRycy9kb3ducmV2LnhtbESPQWvCQBCF74X+h2UK3uqmDVqJrlKEFvEi2tDzkB2T&#10;aHY2Zrcx9td3DkJvM7w3732zWA2uUT11ofZs4GWcgCIuvK25NJB/fTzPQIWIbLHxTAZuFGC1fHxY&#10;YGb9lffUH2KpJIRDhgaqGNtM61BU5DCMfUss2tF3DqOsXalth1cJd41+TZKpdlizNFTY0rqi4nz4&#10;cQbK/jSxMeVTn+/Syedvvf1+Sy/GjJ6G9zmoSEP8N9+vN1bwBVZ+kQH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4RCLEAAAA2wAAAA8AAAAAAAAAAAAAAAAAmAIAAGRycy9k&#10;b3ducmV2LnhtbFBLBQYAAAAABAAEAPUAAACJAwAAAAA=&#10;" fillcolor="yellow">
                  <v:fill opacity="36700f" color2="yellow" o:opacity2="36700f" rotate="t" focus="100%" type="gradient"/>
                </v:rect>
                <v:rect id="Rectangle 20" o:spid="_x0000_s1044" style="position:absolute;left:6470;top:22077;width:228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gJ2cQA&#10;AADbAAAADwAAAGRycy9kb3ducmV2LnhtbESPQWsCMRCF74X+hzAFbzVbEVtXoyxrhR68VIvobdiM&#10;m9DNZNmkuv77RhC8zfDe++bNfNm7RpypC9azgrdhBoK48tpyreBnt379ABEissbGMym4UoDl4vlp&#10;jrn2F/6m8zbWIkE45KjAxNjmUobKkMMw9C1x0k6+cxjT2tVSd3hJcNfIUZZNpEPL6YLBlkpD1e/2&#10;zyWK/TzuN6ODk/a92oxNuXLFZKXU4KUvZiAi9fFhvqe/dKo/hdsvaQ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4CdnEAAAA2wAAAA8AAAAAAAAAAAAAAAAAmAIAAGRycy9k&#10;b3ducmV2LnhtbFBLBQYAAAAABAAEAPUAAACJAwAAAAA=&#10;" fillcolor="#9c0">
                  <v:fill opacity="44563f" color2="#9c0" o:opacity2="44563f" rotate="t" focus="100%" type="gradient"/>
                </v:rect>
                <v:rect id="Rectangle 21" o:spid="_x0000_s1045" style="position:absolute;left:12185;top:15269;width:1143;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t5ocEA&#10;AADbAAAADwAAAGRycy9kb3ducmV2LnhtbERPy2oCMRTdC/5DuEI3g2bqwsdolNJSqC4KvnB7mVwn&#10;wcnNMEmd8e+bRaHLw3mvt72rxYPaYD0reJ3kIIhLry1XCs6nz/ECRIjIGmvPpOBJAbab4WCNhfYd&#10;H+hxjJVIIRwKVGBibAopQ2nIYZj4hjhxN986jAm2ldQtdinc1XKa5zPp0HJqMNjQu6HyfvxxCq6G&#10;rtllXmbfuP9Y7rudlbPMKvUy6t9WICL18V/85/7SCqZpffqSf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LeaHBAAAA2wAAAA8AAAAAAAAAAAAAAAAAmAIAAGRycy9kb3du&#10;cmV2LnhtbFBLBQYAAAAABAAEAPUAAACGAwAAAAA=&#10;" fillcolor="#9c0">
                  <v:fill opacity="45219f" color2="#9c0" o:opacity2="45219f" rotate="t" focus="100%" type="gradient"/>
                </v:rect>
                <v:rect id="Rectangle 22" o:spid="_x0000_s1046" style="position:absolute;left:8756;top:19841;width:342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fcOsQA&#10;AADbAAAADwAAAGRycy9kb3ducmV2LnhtbESPQWsCMRSE7wX/Q3hCL4tm9WB1a5TSUqgeCq4Wr4/N&#10;6yZ087JsUnf7740g9DjMzDfMeju4RlyoC9azgtk0B0FceW25VnA6vk+WIEJE1th4JgV/FGC7GT2s&#10;sdC+5wNdyliLBOFQoAITY1tIGSpDDsPUt8TJ+/adw5hkV0vdYZ/grpHzPF9Ih5bTgsGWXg1VP+Wv&#10;U3A2dM6+nqrsE/dvq32/s3KRWaUex8PLM4hIQ/wP39sfWsF8Brcv6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H3DrEAAAA2wAAAA8AAAAAAAAAAAAAAAAAmAIAAGRycy9k&#10;b3ducmV2LnhtbFBLBQYAAAAABAAEAPUAAACJAwAAAAA=&#10;" fillcolor="#9c0">
                  <v:fill opacity="45219f" color2="#9c0" o:opacity2="45219f" rotate="t" focus="100%" type="gradient"/>
                </v:rect>
                <v:rect id="Rectangle 23" o:spid="_x0000_s1047" style="position:absolute;left:4184;top:24934;width:2286;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BFXMMA&#10;AADbAAAADwAAAGRycy9kb3ducmV2LnhtbESPT4vCMBTE78J+h/AWvGlqDyLVWKog7IKXdVfE26N5&#10;/YPNS0mi1m+/EQSPw8z8hlnlg+nEjZxvLSuYTRMQxKXVLdcK/n53kwUIH5A1dpZJwYM85OuP0Qoz&#10;be/8Q7dDqEWEsM9QQRNCn0npy4YM+qntiaNXWWcwROlqqR3eI9x0Mk2SuTTYclxosKdtQ+XlcDUK&#10;wqwqHycnz/Nu810l12O925tCqfHnUCxBBBrCO/xqf2kFaQrP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BFXMMAAADbAAAADwAAAAAAAAAAAAAAAACYAgAAZHJzL2Rv&#10;d25yZXYueG1sUEsFBgAAAAAEAAQA9QAAAIgDAAAAAA==&#10;" fillcolor="#9c0">
                  <v:fill opacity="53084f" color2="#9c0" o:opacity2="53084f" rotate="t" focus="100%" type="gradient"/>
                </v:rect>
                <v:rect id="Rectangle 24" o:spid="_x0000_s1048" style="position:absolute;left:7613;top:32414;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YQUsQA&#10;AADbAAAADwAAAGRycy9kb3ducmV2LnhtbESPQWsCMRSE7wX/Q3iCl6JZLRVZjSJiQWh7cPWyt8fm&#10;ubu4eQmbVNN/3xQEj8PMfMOsNtF04ka9by0rmE4yEMSV1S3XCs6nj/EChA/IGjvLpOCXPGzWg5cV&#10;5tre+Ui3ItQiQdjnqKAJweVS+qohg35iHXHyLrY3GJLsa6l7vCe46eQsy+bSYMtpoUFHu4aqa/Fj&#10;FETala/6a1+4z/bbxfOxnL5npVKjYdwuQQSK4Rl+tA9awewN/r+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GEFLEAAAA2wAAAA8AAAAAAAAAAAAAAAAAmAIAAGRycy9k&#10;b3ducmV2LnhtbFBLBQYAAAAABAAEAPUAAACJAwAAAAA=&#10;" fillcolor="maroon"/>
                <v:rect id="Rectangle 25" o:spid="_x0000_s1049" style="position:absolute;left:7613;top:34700;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c//ccA&#10;AADbAAAADwAAAGRycy9kb3ducmV2LnhtbESPT2vCQBTE74LfYXmFXkQ3lSKSukoR20ToxT8ovT2y&#10;r9nQ7NuQXU3qp+8WCh6HmfkNs1j1thZXan3lWMHTJAFBXDhdcangeHgbz0H4gKyxdkwKfsjDajkc&#10;LDDVruMdXfehFBHCPkUFJoQmldIXhiz6iWuIo/flWoshyraUusUuwm0tp0kykxYrjgsGG1obKr73&#10;F6vgNHr/3GzPmRltbq6f5132cckzpR4f+tcXEIH6cA//t3OtYPoMf1/iD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XP/3HAAAA2wAAAA8AAAAAAAAAAAAAAAAAmAIAAGRy&#10;cy9kb3ducmV2LnhtbFBLBQYAAAAABAAEAPUAAACMAwAAAAA=&#10;" fillcolor="#f60"/>
                <v:rect id="Rectangle 26" o:spid="_x0000_s1050" style="position:absolute;left:23898;top:32726;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IT6MQA&#10;AADbAAAADwAAAGRycy9kb3ducmV2LnhtbESPQWsCMRSE74L/ITyhN00qrZXVKCoILfSiFXp9bJ67&#10;azcv6+ap2/76piD0OMzMN8x82flaXamNVWALjyMDijgPruLCwuFjO5yCioLssA5MFr4pwnLR780x&#10;c+HGO7rupVAJwjFDC6VIk2kd85I8xlFoiJN3DK1HSbIttGvxluC+1mNjJtpjxWmhxIY2JeVf+4u3&#10;4M5yeDIv5/efzzd3Kcx2J6vT2tqHQbeagRLq5D98b786C+Nn+PuSf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SE+jEAAAA2wAAAA8AAAAAAAAAAAAAAAAAmAIAAGRycy9k&#10;b3ducmV2LnhtbFBLBQYAAAAABAAEAPUAAACJAwAAAAA=&#10;" fillcolor="#9c0"/>
                <v:rect id="Rectangle 27" o:spid="_x0000_s1051" style="position:absolute;left:24074;top:34701;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FMUA&#10;AADbAAAADwAAAGRycy9kb3ducmV2LnhtbESPQWvCQBSE7wX/w/IK3uqmASWmrqHEKu1F2iieH9ln&#10;EpJ9G7LbGP99t1DocZiZb5hNNplOjDS4xrKC50UEgri0uuFKwfm0f0pAOI+ssbNMCu7kINvOHjaY&#10;anvjLxoLX4kAYZeigtr7PpXSlTUZdAvbEwfvageDPsihknrAW4CbTsZRtJIGGw4LNfaU11S2xbdR&#10;cDj3H22R3+Pk+Ll8K5LdZX09XpSaP06vLyA8Tf4//Nd+1wriFfx+C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8sUxQAAANsAAAAPAAAAAAAAAAAAAAAAAJgCAABkcnMv&#10;ZG93bnJldi54bWxQSwUGAAAAAAQABAD1AAAAigMAAAAA&#10;" fillcolor="yellow"/>
                <v:shape id="Text Box 28" o:spid="_x0000_s1052" type="#_x0000_t202" style="position:absolute;left:8566;top:31938;width:2743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F013A5" w:rsidRPr="001B7A5F" w:rsidRDefault="00F013A5" w:rsidP="00F013A5">
                        <w:pPr>
                          <w:rPr>
                            <w:sz w:val="20"/>
                            <w:szCs w:val="20"/>
                          </w:rPr>
                        </w:pPr>
                        <w:r>
                          <w:rPr>
                            <w:sz w:val="20"/>
                            <w:szCs w:val="20"/>
                          </w:rPr>
                          <w:t>High-income minimisers</w:t>
                        </w:r>
                      </w:p>
                    </w:txbxContent>
                  </v:textbox>
                </v:shape>
                <v:shape id="Text Box 29" o:spid="_x0000_s1053" type="#_x0000_t202" style="position:absolute;left:8470;top:34022;width:2743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F013A5" w:rsidRPr="001B7A5F" w:rsidRDefault="00F013A5" w:rsidP="00F013A5">
                        <w:pPr>
                          <w:rPr>
                            <w:sz w:val="20"/>
                            <w:szCs w:val="20"/>
                          </w:rPr>
                        </w:pPr>
                        <w:r>
                          <w:rPr>
                            <w:sz w:val="20"/>
                            <w:szCs w:val="20"/>
                          </w:rPr>
                          <w:t>High-income maximisers</w:t>
                        </w:r>
                      </w:p>
                    </w:txbxContent>
                  </v:textbox>
                </v:shape>
                <v:shape id="Text Box 30" o:spid="_x0000_s1054" type="#_x0000_t202" style="position:absolute;left:25411;top:32025;width:2743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F013A5" w:rsidRPr="001B7A5F" w:rsidRDefault="00F013A5" w:rsidP="00F013A5">
                        <w:pPr>
                          <w:rPr>
                            <w:sz w:val="20"/>
                            <w:szCs w:val="20"/>
                          </w:rPr>
                        </w:pPr>
                        <w:r>
                          <w:rPr>
                            <w:sz w:val="20"/>
                            <w:szCs w:val="20"/>
                          </w:rPr>
                          <w:t>Low-income minimisers</w:t>
                        </w:r>
                      </w:p>
                    </w:txbxContent>
                  </v:textbox>
                </v:shape>
                <v:shape id="Text Box 31" o:spid="_x0000_s1055" type="#_x0000_t202" style="position:absolute;left:25411;top:33916;width:2743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F013A5" w:rsidRPr="001B7A5F" w:rsidRDefault="00F013A5" w:rsidP="00F013A5">
                        <w:pPr>
                          <w:rPr>
                            <w:sz w:val="20"/>
                            <w:szCs w:val="20"/>
                          </w:rPr>
                        </w:pPr>
                        <w:r>
                          <w:rPr>
                            <w:sz w:val="20"/>
                            <w:szCs w:val="20"/>
                          </w:rPr>
                          <w:t>Low-income maximisers</w:t>
                        </w:r>
                      </w:p>
                    </w:txbxContent>
                  </v:textbox>
                </v:shape>
                <v:shape id="Text Box 33" o:spid="_x0000_s1056" type="#_x0000_t202" style="position:absolute;left:6565;top:2950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F013A5" w:rsidRDefault="00F013A5" w:rsidP="00F013A5">
                        <w:smartTag w:uri="urn:schemas-microsoft-com:office:smarttags" w:element="stockticker">
                          <w:r>
                            <w:t>KEY</w:t>
                          </w:r>
                        </w:smartTag>
                        <w:r>
                          <w:t>:</w:t>
                        </w:r>
                      </w:p>
                    </w:txbxContent>
                  </v:textbox>
                </v:shape>
                <v:rect id="Rectangle 34" o:spid="_x0000_s1057" style="position:absolute;left:36188;top:22077;width:228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j8QA&#10;AADbAAAADwAAAGRycy9kb3ducmV2LnhtbESPQWsCMRSE7wX/Q3iCl6JZlYqsRhGxUKg9uHrZ22Pz&#10;3F3cvIRNqum/b4RCj8PMfMOst9F04k69by0rmE4yEMSV1S3XCi7n9/EShA/IGjvLpOCHPGw3g5c1&#10;5to++ET3ItQiQdjnqKAJweVS+qohg35iHXHyrrY3GJLsa6l7fCS46eQsyxbSYMtpoUFH+4aqW/Ft&#10;FETal6/6eCjcZ/vl4uVUTt+yUqnRMO5WIALF8B/+a39oBfM5PL+k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fho/EAAAA2wAAAA8AAAAAAAAAAAAAAAAAmAIAAGRycy9k&#10;b3ducmV2LnhtbFBLBQYAAAAABAAEAPUAAACJAwAAAAA=&#10;" fillcolor="maroon"/>
                <w10:wrap type="square"/>
              </v:group>
            </w:pict>
          </mc:Fallback>
        </mc:AlternateContent>
      </w:r>
      <w:r w:rsidR="00A779E9">
        <w:t>You should have a look at the ‘Household carbon accounting lecture notes’ for background methodology. Figure 7 in the notes identifies four hypothetical groups of householders, two rich, two ‘poor’, one of each pair being low-carbon emitters for their income, one high emitters</w:t>
      </w:r>
      <w:r w:rsidR="00B04BF6">
        <w:t xml:space="preserve">. </w:t>
      </w:r>
      <w:r>
        <w:t>Th</w:t>
      </w:r>
      <w:r w:rsidR="00F96E7D">
        <w:t>is is illustrated in the graph below</w:t>
      </w:r>
      <w:r>
        <w:t>, showing principal emission classes</w:t>
      </w:r>
      <w:r w:rsidR="00F96E7D">
        <w:t xml:space="preserve">.  </w:t>
      </w:r>
    </w:p>
    <w:p w:rsidR="00F96E7D" w:rsidRDefault="00F96E7D"/>
    <w:p w:rsidR="00A779E9" w:rsidRDefault="00F96E7D">
      <w:r>
        <w:t xml:space="preserve">We could probably do better than this, perhaps with six categories rather than four. </w:t>
      </w:r>
      <w:r w:rsidR="00B04BF6">
        <w:t xml:space="preserve"> I would like the class to divide into </w:t>
      </w:r>
      <w:r>
        <w:t>six</w:t>
      </w:r>
      <w:r w:rsidR="00B04BF6">
        <w:t xml:space="preserve"> groups, each of which will ‘adopt’ a </w:t>
      </w:r>
      <w:r>
        <w:t xml:space="preserve">type of </w:t>
      </w:r>
      <w:r w:rsidR="00B04BF6">
        <w:t>household and explore it.</w:t>
      </w:r>
      <w:r w:rsidR="006362C5">
        <w:t xml:space="preserve"> To simplify everything the household</w:t>
      </w:r>
      <w:r>
        <w:t>s</w:t>
      </w:r>
      <w:r w:rsidR="006362C5">
        <w:t xml:space="preserve"> are considered </w:t>
      </w:r>
      <w:r>
        <w:t>to</w:t>
      </w:r>
      <w:r w:rsidR="006362C5">
        <w:t xml:space="preserve"> consist of just two adults</w:t>
      </w:r>
      <w:r>
        <w:t xml:space="preserve"> and one pre-teen child</w:t>
      </w:r>
      <w:r w:rsidR="006362C5">
        <w:t>.</w:t>
      </w:r>
    </w:p>
    <w:p w:rsidR="000B5E56" w:rsidRDefault="000B5E56"/>
    <w:p w:rsidR="000B5E56" w:rsidRDefault="000B5E56">
      <w:r>
        <w:t>There are three ‘income’ categories</w:t>
      </w:r>
      <w:r w:rsidR="005448B8">
        <w:t>:</w:t>
      </w:r>
      <w:r>
        <w:t xml:space="preserve"> </w:t>
      </w:r>
    </w:p>
    <w:p w:rsidR="000B5E56" w:rsidRDefault="000B5E56" w:rsidP="000B5E56">
      <w:pPr>
        <w:pStyle w:val="ListParagraph"/>
        <w:numPr>
          <w:ilvl w:val="0"/>
          <w:numId w:val="1"/>
        </w:numPr>
      </w:pPr>
      <w:r>
        <w:t>the 2</w:t>
      </w:r>
      <w:r w:rsidRPr="000B5E56">
        <w:rPr>
          <w:vertAlign w:val="superscript"/>
        </w:rPr>
        <w:t>nd</w:t>
      </w:r>
      <w:r>
        <w:t xml:space="preserve"> </w:t>
      </w:r>
      <w:proofErr w:type="spellStart"/>
      <w:r>
        <w:t>decile</w:t>
      </w:r>
      <w:proofErr w:type="spellEnd"/>
      <w:r>
        <w:t xml:space="preserve"> with a disposable (after tax and benefits) expenditure of £12000 a year;</w:t>
      </w:r>
    </w:p>
    <w:p w:rsidR="000B5E56" w:rsidRDefault="000B5E56" w:rsidP="000B5E56">
      <w:pPr>
        <w:pStyle w:val="ListParagraph"/>
        <w:numPr>
          <w:ilvl w:val="0"/>
          <w:numId w:val="1"/>
        </w:numPr>
      </w:pPr>
      <w:r>
        <w:t xml:space="preserve">‘average’ with a disposable income of £30000 a year; and </w:t>
      </w:r>
    </w:p>
    <w:p w:rsidR="000B5E56" w:rsidRDefault="000B5E56" w:rsidP="000B5E56">
      <w:pPr>
        <w:pStyle w:val="ListParagraph"/>
        <w:numPr>
          <w:ilvl w:val="0"/>
          <w:numId w:val="1"/>
        </w:numPr>
      </w:pPr>
      <w:r>
        <w:t>10</w:t>
      </w:r>
      <w:r w:rsidRPr="000B5E56">
        <w:rPr>
          <w:vertAlign w:val="superscript"/>
        </w:rPr>
        <w:t>th</w:t>
      </w:r>
      <w:r>
        <w:t xml:space="preserve"> </w:t>
      </w:r>
      <w:proofErr w:type="spellStart"/>
      <w:r>
        <w:t>decile</w:t>
      </w:r>
      <w:proofErr w:type="spellEnd"/>
      <w:r>
        <w:t xml:space="preserve"> with a disposable income </w:t>
      </w:r>
      <w:proofErr w:type="gramStart"/>
      <w:r>
        <w:t>of  £</w:t>
      </w:r>
      <w:proofErr w:type="gramEnd"/>
      <w:r>
        <w:t>70000 a year.</w:t>
      </w:r>
    </w:p>
    <w:p w:rsidR="000B5E56" w:rsidRDefault="000B5E56"/>
    <w:p w:rsidR="000B5E56" w:rsidRDefault="00F351F0">
      <w:r>
        <w:t xml:space="preserve">We know quite a lot about the </w:t>
      </w:r>
      <w:r w:rsidRPr="005448B8">
        <w:rPr>
          <w:i/>
        </w:rPr>
        <w:t>average</w:t>
      </w:r>
      <w:r>
        <w:t xml:space="preserve"> spending and emission habits of these groups, because the academic studies have investigated them. We do not know much about the ‘outliers’: groups far from the average case. In this exercise we will model carbon maximisers and carbon minimisers for each of the three income categories.</w:t>
      </w:r>
      <w:r w:rsidR="005448B8">
        <w:t xml:space="preserve"> Maximisers will constantly make ‘high-carbon’ choices, while minimisers will strive to get their total emissions as low as possible.</w:t>
      </w:r>
    </w:p>
    <w:p w:rsidR="00F351F0" w:rsidRDefault="00F351F0"/>
    <w:p w:rsidR="00F351F0" w:rsidRDefault="00F351F0">
      <w:r>
        <w:t>You will need to form six groups, each with a computer, and choose one of the six cases. Then work your way through the calculator tool, making choices characteristic for that group. The constraint will be income: you cannot exceed your income</w:t>
      </w:r>
      <w:r w:rsidR="005D3426">
        <w:t>, yet you have to spend everything</w:t>
      </w:r>
      <w:r>
        <w:t xml:space="preserve">. So you will need to construct an approximate annual budget, showing how much is being spent on what. </w:t>
      </w:r>
    </w:p>
    <w:p w:rsidR="005D3426" w:rsidRDefault="005D3426"/>
    <w:p w:rsidR="00F351F0" w:rsidRDefault="00F351F0">
      <w:r>
        <w:t xml:space="preserve">To help with this, you will be provided with statistical data from the Office of National Statistics, showing how much is typically spent on various categories of goods and services by different </w:t>
      </w:r>
      <w:r>
        <w:lastRenderedPageBreak/>
        <w:t>income classes. This should help you be ‘realistic’ and keep within your budget.</w:t>
      </w:r>
      <w:r w:rsidR="005D3426">
        <w:t xml:space="preserve"> You can also do </w:t>
      </w:r>
      <w:proofErr w:type="gramStart"/>
      <w:r w:rsidR="005D3426">
        <w:t>we</w:t>
      </w:r>
      <w:proofErr w:type="gramEnd"/>
      <w:r w:rsidR="005D3426">
        <w:t xml:space="preserve"> </w:t>
      </w:r>
      <w:r w:rsidR="005448B8">
        <w:t>searches and use y</w:t>
      </w:r>
      <w:r w:rsidR="005D3426">
        <w:t>our own knowledge of ‘what things cost’.</w:t>
      </w:r>
      <w:r w:rsidR="005448B8">
        <w:t xml:space="preserve"> You might find you need several iterations to reconcile your various choices </w:t>
      </w:r>
      <w:proofErr w:type="spellStart"/>
      <w:r w:rsidR="005448B8">
        <w:t>wiuth</w:t>
      </w:r>
      <w:proofErr w:type="spellEnd"/>
      <w:r w:rsidR="005448B8">
        <w:t xml:space="preserve"> the budget and derive a realistic carbon footprint and fingerprint.</w:t>
      </w:r>
    </w:p>
    <w:p w:rsidR="00F351F0" w:rsidRDefault="00F351F0"/>
    <w:p w:rsidR="00F351F0" w:rsidRDefault="00F351F0">
      <w:r>
        <w:t xml:space="preserve">You should be able to create </w:t>
      </w:r>
      <w:proofErr w:type="gramStart"/>
      <w:r>
        <w:t xml:space="preserve">a suitable </w:t>
      </w:r>
      <w:r w:rsidR="005448B8">
        <w:t>fingerprints</w:t>
      </w:r>
      <w:proofErr w:type="gramEnd"/>
      <w:r>
        <w:t xml:space="preserve"> using the calculator tool</w:t>
      </w:r>
      <w:r w:rsidR="005D3426">
        <w:t>’s graphics, but you might have other ideas on how your results can be presented</w:t>
      </w:r>
      <w:r>
        <w:t>.</w:t>
      </w:r>
    </w:p>
    <w:p w:rsidR="00F351F0" w:rsidRDefault="00F351F0"/>
    <w:p w:rsidR="00F351F0" w:rsidRDefault="00AD598A">
      <w:r>
        <w:t>When you have done the number-crunching, I want you to create a realistic picture of d</w:t>
      </w:r>
      <w:r w:rsidR="005D3426">
        <w:t>a</w:t>
      </w:r>
      <w:r>
        <w:t>ily life within the household you have modelled. Give your family a name</w:t>
      </w:r>
      <w:r w:rsidR="005D3426">
        <w:t>. You will have a chance to ex</w:t>
      </w:r>
      <w:r>
        <w:t>plain to the class how</w:t>
      </w:r>
      <w:r w:rsidR="005D3426">
        <w:t xml:space="preserve"> they developed their pattern of life.</w:t>
      </w:r>
      <w:r w:rsidR="00073A4B">
        <w:t xml:space="preserve"> Of course we are particularly interested in ‘where the shoe pinches’: the difficulties that might arise in trying to realise some of these </w:t>
      </w:r>
      <w:bookmarkStart w:id="0" w:name="_GoBack"/>
      <w:bookmarkEnd w:id="0"/>
      <w:r w:rsidR="00073A4B">
        <w:t>domestic scenarios.</w:t>
      </w:r>
    </w:p>
    <w:p w:rsidR="005D3426" w:rsidRDefault="005D3426"/>
    <w:p w:rsidR="005D3426" w:rsidRDefault="005D3426">
      <w:r>
        <w:t xml:space="preserve">Collectively, we should be able to suggest some </w:t>
      </w:r>
      <w:r w:rsidR="00073A4B">
        <w:t xml:space="preserve">points in the income-emissions space that could exist in reality. It would be </w:t>
      </w:r>
      <w:r w:rsidR="005448B8">
        <w:t>a</w:t>
      </w:r>
      <w:r w:rsidR="00073A4B">
        <w:t xml:space="preserve"> task </w:t>
      </w:r>
      <w:r w:rsidR="005448B8">
        <w:t xml:space="preserve">for further research </w:t>
      </w:r>
      <w:r w:rsidR="00073A4B">
        <w:t xml:space="preserve">to try and find actual examples of such households, or to find households willing to ‘live out’ some of the theoretical possibilities. </w:t>
      </w:r>
    </w:p>
    <w:p w:rsidR="007D2E10" w:rsidRDefault="007D2E10"/>
    <w:p w:rsidR="007D2E10" w:rsidRDefault="007D2E10">
      <w:r>
        <w:t>I have in fact done a certain amount of this kind of participant-observation research, and some informal results are discussed in Harper (1999). For those who are interested I’ll put a copy on the VLE.</w:t>
      </w:r>
      <w:r w:rsidR="00C05DAA">
        <w:t xml:space="preserve"> </w:t>
      </w:r>
      <w:proofErr w:type="spellStart"/>
      <w:r w:rsidR="00C05DAA">
        <w:t>Vaze</w:t>
      </w:r>
      <w:proofErr w:type="spellEnd"/>
      <w:r w:rsidR="00C05DAA">
        <w:t xml:space="preserve"> (2010) did something similar, and his book is in the university library.</w:t>
      </w:r>
    </w:p>
    <w:p w:rsidR="000B5E56" w:rsidRDefault="000B5E56"/>
    <w:p w:rsidR="00654F2F" w:rsidRDefault="00654F2F"/>
    <w:p w:rsidR="00190E26" w:rsidRDefault="00190E26"/>
    <w:p w:rsidR="00073A4B" w:rsidRDefault="00073A4B" w:rsidP="00190E26">
      <w:r>
        <w:t>REFERENCES</w:t>
      </w:r>
    </w:p>
    <w:p w:rsidR="00073A4B" w:rsidRDefault="00073A4B" w:rsidP="00190E26"/>
    <w:p w:rsidR="00190E26" w:rsidRDefault="00190E26" w:rsidP="00190E26">
      <w:r w:rsidRPr="00A059F6">
        <w:t xml:space="preserve">Minx, J.C., </w:t>
      </w:r>
      <w:proofErr w:type="spellStart"/>
      <w:r w:rsidRPr="00A059F6">
        <w:t>Baiocchi</w:t>
      </w:r>
      <w:proofErr w:type="spellEnd"/>
      <w:r w:rsidRPr="00A059F6">
        <w:t xml:space="preserve">, G., </w:t>
      </w:r>
      <w:proofErr w:type="spellStart"/>
      <w:r w:rsidRPr="00A059F6">
        <w:t>Wiedmann</w:t>
      </w:r>
      <w:proofErr w:type="spellEnd"/>
      <w:r w:rsidRPr="00A059F6">
        <w:t xml:space="preserve">, T. and Barrett, J. (2009) </w:t>
      </w:r>
      <w:r w:rsidRPr="00A059F6">
        <w:rPr>
          <w:i/>
        </w:rPr>
        <w:t>Understanding Changes in CO 2 Emissions from Consumption 1992-2004: A Structural Decomposition Analysis,</w:t>
      </w:r>
      <w:r w:rsidRPr="00A059F6">
        <w:t xml:space="preserve"> Report to the UK Department for Environment, Food and Rural Affairs by Stockholm Environment Institute at the University of York and the University of Durham, DEFRA, London, UK.</w:t>
      </w:r>
      <w:r>
        <w:t xml:space="preserve"> </w:t>
      </w:r>
    </w:p>
    <w:p w:rsidR="005D3426" w:rsidRDefault="005D3426" w:rsidP="00190E26"/>
    <w:p w:rsidR="00190E26" w:rsidRDefault="00190E26" w:rsidP="00190E26">
      <w:r>
        <w:t xml:space="preserve">Gough, I., </w:t>
      </w:r>
      <w:r w:rsidRPr="00A059F6">
        <w:rPr>
          <w:i/>
        </w:rPr>
        <w:t>et al</w:t>
      </w:r>
      <w:r>
        <w:t xml:space="preserve">. (2012): </w:t>
      </w:r>
      <w:r w:rsidRPr="00E406D6">
        <w:rPr>
          <w:i/>
        </w:rPr>
        <w:t>The Distribution of Total Greenhouse Gas Emissions by Households in the UK, and some implications for Social Policy</w:t>
      </w:r>
      <w:r>
        <w:t>. Centre for the Analysis of Social Exclusion, Paper 152.</w:t>
      </w:r>
    </w:p>
    <w:p w:rsidR="005D3426" w:rsidRDefault="005D3426" w:rsidP="00190E26"/>
    <w:p w:rsidR="00190E26" w:rsidRDefault="00190E26" w:rsidP="00190E26">
      <w:proofErr w:type="spellStart"/>
      <w:proofErr w:type="gramStart"/>
      <w:r>
        <w:t>Buechs</w:t>
      </w:r>
      <w:proofErr w:type="spellEnd"/>
      <w:r>
        <w:t xml:space="preserve">, M., and S. </w:t>
      </w:r>
      <w:proofErr w:type="spellStart"/>
      <w:r>
        <w:t>Schnepf</w:t>
      </w:r>
      <w:proofErr w:type="spellEnd"/>
      <w:r>
        <w:t xml:space="preserve"> (2013).</w:t>
      </w:r>
      <w:proofErr w:type="gramEnd"/>
      <w:r>
        <w:t xml:space="preserve"> Who emits most? Associations between socio-economic factors and UK households’ </w:t>
      </w:r>
      <w:proofErr w:type="gramStart"/>
      <w:r>
        <w:t>home  energy</w:t>
      </w:r>
      <w:proofErr w:type="gramEnd"/>
      <w:r>
        <w:t>, transport, indirect and total CO2 emissions</w:t>
      </w:r>
    </w:p>
    <w:p w:rsidR="00190E26" w:rsidRDefault="00190E26" w:rsidP="00190E26">
      <w:proofErr w:type="gramStart"/>
      <w:r>
        <w:t xml:space="preserve">Accepted for publication by </w:t>
      </w:r>
      <w:r w:rsidRPr="00A059F6">
        <w:rPr>
          <w:i/>
        </w:rPr>
        <w:t>Ecological Economics</w:t>
      </w:r>
      <w:r>
        <w:t>, forthcoming 2013.</w:t>
      </w:r>
      <w:proofErr w:type="gramEnd"/>
    </w:p>
    <w:p w:rsidR="00190E26" w:rsidRDefault="00190E26"/>
    <w:p w:rsidR="007D2E10" w:rsidRDefault="007D2E10" w:rsidP="007D2E10">
      <w:pPr>
        <w:pStyle w:val="DefaultText"/>
        <w:ind w:left="720" w:hanging="720"/>
        <w:rPr>
          <w:sz w:val="22"/>
        </w:rPr>
      </w:pPr>
      <w:r>
        <w:rPr>
          <w:sz w:val="22"/>
        </w:rPr>
        <w:t xml:space="preserve">Harper, P. “Techno-Anthropology in the Home”, </w:t>
      </w:r>
      <w:r>
        <w:rPr>
          <w:i/>
          <w:sz w:val="22"/>
        </w:rPr>
        <w:t>Radical Statistics</w:t>
      </w:r>
      <w:r>
        <w:rPr>
          <w:sz w:val="22"/>
        </w:rPr>
        <w:t xml:space="preserve"> No. 71, Summer 1999.</w:t>
      </w:r>
    </w:p>
    <w:p w:rsidR="00C05DAA" w:rsidRDefault="00C05DAA" w:rsidP="00C05DAA">
      <w:pPr>
        <w:pStyle w:val="DefaultText"/>
        <w:ind w:left="720" w:hanging="720"/>
        <w:rPr>
          <w:sz w:val="22"/>
        </w:rPr>
      </w:pPr>
    </w:p>
    <w:p w:rsidR="00C05DAA" w:rsidRDefault="00C05DAA" w:rsidP="00C05DAA">
      <w:pPr>
        <w:pStyle w:val="DefaultText"/>
        <w:ind w:left="720" w:hanging="720"/>
        <w:rPr>
          <w:sz w:val="22"/>
        </w:rPr>
      </w:pPr>
      <w:proofErr w:type="spellStart"/>
      <w:r>
        <w:rPr>
          <w:sz w:val="22"/>
        </w:rPr>
        <w:t>Vaze</w:t>
      </w:r>
      <w:proofErr w:type="spellEnd"/>
      <w:r>
        <w:rPr>
          <w:sz w:val="22"/>
        </w:rPr>
        <w:t xml:space="preserve">, Prashant. </w:t>
      </w:r>
      <w:proofErr w:type="gramStart"/>
      <w:r w:rsidRPr="00630722">
        <w:rPr>
          <w:i/>
          <w:sz w:val="22"/>
        </w:rPr>
        <w:t>The Economical Environmentalist</w:t>
      </w:r>
      <w:r>
        <w:rPr>
          <w:sz w:val="22"/>
        </w:rPr>
        <w:t>.</w:t>
      </w:r>
      <w:proofErr w:type="gramEnd"/>
      <w:r>
        <w:rPr>
          <w:sz w:val="22"/>
        </w:rPr>
        <w:t xml:space="preserve"> </w:t>
      </w:r>
      <w:proofErr w:type="spellStart"/>
      <w:proofErr w:type="gramStart"/>
      <w:r>
        <w:rPr>
          <w:sz w:val="22"/>
        </w:rPr>
        <w:t>Earthscan</w:t>
      </w:r>
      <w:proofErr w:type="spellEnd"/>
      <w:r>
        <w:rPr>
          <w:sz w:val="22"/>
        </w:rPr>
        <w:t xml:space="preserve"> 2010.</w:t>
      </w:r>
      <w:proofErr w:type="gramEnd"/>
    </w:p>
    <w:p w:rsidR="00C05DAA" w:rsidRDefault="00C05DAA" w:rsidP="007D2E10">
      <w:pPr>
        <w:pStyle w:val="DefaultText"/>
        <w:ind w:left="720" w:hanging="720"/>
        <w:rPr>
          <w:sz w:val="22"/>
        </w:rPr>
      </w:pPr>
    </w:p>
    <w:p w:rsidR="00F87792" w:rsidRDefault="00F87792">
      <w:pPr>
        <w:rPr>
          <w:rFonts w:eastAsia="Times New Roman"/>
          <w:sz w:val="22"/>
          <w:szCs w:val="20"/>
          <w:lang w:val="en-US" w:eastAsia="en-GB"/>
        </w:rPr>
      </w:pPr>
      <w:r>
        <w:rPr>
          <w:sz w:val="22"/>
        </w:rPr>
        <w:br w:type="page"/>
      </w:r>
    </w:p>
    <w:p w:rsidR="00F87792" w:rsidRDefault="00F87792" w:rsidP="007D2E10">
      <w:pPr>
        <w:pStyle w:val="DefaultText"/>
        <w:ind w:left="720" w:hanging="720"/>
        <w:rPr>
          <w:sz w:val="22"/>
        </w:rPr>
      </w:pPr>
      <w:r>
        <w:rPr>
          <w:sz w:val="22"/>
        </w:rPr>
        <w:lastRenderedPageBreak/>
        <w:t>SOME RESULTS</w:t>
      </w:r>
    </w:p>
    <w:p w:rsidR="00F87792" w:rsidRDefault="00F87792" w:rsidP="007D2E10">
      <w:pPr>
        <w:pStyle w:val="DefaultText"/>
        <w:ind w:left="720" w:hanging="720"/>
        <w:rPr>
          <w:sz w:val="22"/>
        </w:rPr>
      </w:pPr>
    </w:p>
    <w:p w:rsidR="00F87792" w:rsidRDefault="00F87792" w:rsidP="007D2E10">
      <w:pPr>
        <w:pStyle w:val="DefaultText"/>
        <w:ind w:left="720" w:hanging="720"/>
        <w:rPr>
          <w:sz w:val="22"/>
        </w:rPr>
      </w:pPr>
    </w:p>
    <w:p w:rsidR="00F87792" w:rsidRDefault="00F87792" w:rsidP="007D2E10">
      <w:pPr>
        <w:pStyle w:val="DefaultText"/>
        <w:ind w:left="720" w:hanging="720"/>
        <w:rPr>
          <w:sz w:val="22"/>
        </w:rPr>
      </w:pPr>
      <w:r>
        <w:rPr>
          <w:sz w:val="22"/>
        </w:rPr>
        <w:t>You might be interested to know more about how the results of the class exercise compare with the average case, and with other similar exercises.</w:t>
      </w:r>
    </w:p>
    <w:p w:rsidR="00F87792" w:rsidRDefault="00F87792" w:rsidP="007D2E10">
      <w:pPr>
        <w:pStyle w:val="DefaultText"/>
        <w:ind w:left="720" w:hanging="720"/>
        <w:rPr>
          <w:sz w:val="22"/>
        </w:rPr>
      </w:pPr>
    </w:p>
    <w:p w:rsidR="00F87792" w:rsidRDefault="00F87792" w:rsidP="007D2E10">
      <w:pPr>
        <w:pStyle w:val="DefaultText"/>
        <w:ind w:left="720" w:hanging="720"/>
        <w:rPr>
          <w:sz w:val="22"/>
        </w:rPr>
      </w:pPr>
      <w:r>
        <w:rPr>
          <w:sz w:val="22"/>
        </w:rPr>
        <w:t xml:space="preserve">The graph </w:t>
      </w:r>
      <w:proofErr w:type="spellStart"/>
      <w:r>
        <w:rPr>
          <w:sz w:val="22"/>
        </w:rPr>
        <w:t>summarises</w:t>
      </w:r>
      <w:proofErr w:type="spellEnd"/>
      <w:r>
        <w:rPr>
          <w:sz w:val="22"/>
        </w:rPr>
        <w:t xml:space="preserve"> some results I have obtained over the last few years.</w:t>
      </w:r>
    </w:p>
    <w:p w:rsidR="00F87792" w:rsidRDefault="00F87792" w:rsidP="007D2E10">
      <w:pPr>
        <w:pStyle w:val="DefaultText"/>
        <w:ind w:left="720" w:hanging="720"/>
        <w:rPr>
          <w:sz w:val="22"/>
        </w:rPr>
      </w:pPr>
    </w:p>
    <w:p w:rsidR="00F87792" w:rsidRDefault="00F87792" w:rsidP="007D2E10">
      <w:pPr>
        <w:pStyle w:val="DefaultText"/>
        <w:ind w:left="720" w:hanging="720"/>
        <w:rPr>
          <w:sz w:val="22"/>
        </w:rPr>
      </w:pPr>
      <w:r>
        <w:rPr>
          <w:noProof/>
          <w:lang w:val="en-GB"/>
        </w:rPr>
        <w:drawing>
          <wp:anchor distT="0" distB="0" distL="114300" distR="114300" simplePos="0" relativeHeight="251668480" behindDoc="0" locked="0" layoutInCell="1" allowOverlap="1">
            <wp:simplePos x="0" y="0"/>
            <wp:positionH relativeFrom="column">
              <wp:posOffset>0</wp:posOffset>
            </wp:positionH>
            <wp:positionV relativeFrom="paragraph">
              <wp:posOffset>635</wp:posOffset>
            </wp:positionV>
            <wp:extent cx="5943600" cy="3594735"/>
            <wp:effectExtent l="0" t="0" r="19050" b="2476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7D2E10" w:rsidRDefault="00F87792">
      <w:r>
        <w:t xml:space="preserve">The purple line is the average relationship between household income and emissions, as reported by Gough </w:t>
      </w:r>
      <w:r w:rsidRPr="00E01817">
        <w:rPr>
          <w:i/>
        </w:rPr>
        <w:t>et al</w:t>
      </w:r>
      <w:r>
        <w:t>. (2010).</w:t>
      </w:r>
      <w:r w:rsidR="00E51DEE">
        <w:t xml:space="preserve"> The other points are ‘outliers’ generated either by group simulations such as the one you undertook, or investigations of self-proclaimed ‘carbon-minimising households.</w:t>
      </w:r>
    </w:p>
    <w:p w:rsidR="00F87792" w:rsidRDefault="00F87792"/>
    <w:p w:rsidR="00F87792" w:rsidRDefault="00F03B42">
      <w:r>
        <w:t>Your results are the large shadowed lozenges with black borders.  We should not perhaps expect tidy data from an exercise such as this, but as it happens your results form an elegant and coherent pattern reflecting the</w:t>
      </w:r>
      <w:r w:rsidR="00FF6092">
        <w:t xml:space="preserve"> roughly </w:t>
      </w:r>
      <w:r>
        <w:t>‘</w:t>
      </w:r>
      <w:r w:rsidR="00FF6092">
        <w:t>megaphone</w:t>
      </w:r>
      <w:r>
        <w:t xml:space="preserve"> shape’ of outlying emissions that we have observed previously.</w:t>
      </w:r>
    </w:p>
    <w:p w:rsidR="00E51DEE" w:rsidRDefault="00E51DEE"/>
    <w:p w:rsidR="00E51DEE" w:rsidRDefault="00E51DEE">
      <w:r>
        <w:t>Well done, and thanks to all</w:t>
      </w:r>
      <w:r w:rsidR="00FF6092">
        <w:t xml:space="preserve"> for a </w:t>
      </w:r>
      <w:r>
        <w:t>course</w:t>
      </w:r>
      <w:r w:rsidR="00FF6092">
        <w:t xml:space="preserve"> with plenty of dialogue: I’m learning too</w:t>
      </w:r>
      <w:r>
        <w:t>. Good luck in the exams.</w:t>
      </w:r>
    </w:p>
    <w:sectPr w:rsidR="00E51DEE" w:rsidSect="005675D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35FE"/>
    <w:multiLevelType w:val="hybridMultilevel"/>
    <w:tmpl w:val="313A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128"/>
    <w:rsid w:val="00073A4B"/>
    <w:rsid w:val="000B5E56"/>
    <w:rsid w:val="00133128"/>
    <w:rsid w:val="00190E26"/>
    <w:rsid w:val="00231D71"/>
    <w:rsid w:val="002423DB"/>
    <w:rsid w:val="002A6115"/>
    <w:rsid w:val="002D1952"/>
    <w:rsid w:val="00300927"/>
    <w:rsid w:val="0031228C"/>
    <w:rsid w:val="00421199"/>
    <w:rsid w:val="00505A7D"/>
    <w:rsid w:val="00506C93"/>
    <w:rsid w:val="00540561"/>
    <w:rsid w:val="005448B8"/>
    <w:rsid w:val="005675DD"/>
    <w:rsid w:val="005D3426"/>
    <w:rsid w:val="006362C5"/>
    <w:rsid w:val="00654F2F"/>
    <w:rsid w:val="00721A74"/>
    <w:rsid w:val="00794DCE"/>
    <w:rsid w:val="007D2E10"/>
    <w:rsid w:val="008D1551"/>
    <w:rsid w:val="008D5732"/>
    <w:rsid w:val="00A61C5B"/>
    <w:rsid w:val="00A779E9"/>
    <w:rsid w:val="00AD598A"/>
    <w:rsid w:val="00B0105E"/>
    <w:rsid w:val="00B04BF6"/>
    <w:rsid w:val="00C05DAA"/>
    <w:rsid w:val="00CB4E18"/>
    <w:rsid w:val="00D53D53"/>
    <w:rsid w:val="00D826C0"/>
    <w:rsid w:val="00E01817"/>
    <w:rsid w:val="00E51DEE"/>
    <w:rsid w:val="00EB40D4"/>
    <w:rsid w:val="00F013A5"/>
    <w:rsid w:val="00F03B42"/>
    <w:rsid w:val="00F351F0"/>
    <w:rsid w:val="00F47590"/>
    <w:rsid w:val="00F81280"/>
    <w:rsid w:val="00F87792"/>
    <w:rsid w:val="00F96E7D"/>
    <w:rsid w:val="00FB20B6"/>
    <w:rsid w:val="00FB69E1"/>
    <w:rsid w:val="00FF6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F2F"/>
    <w:rPr>
      <w:rFonts w:ascii="Tahoma" w:hAnsi="Tahoma" w:cs="Tahoma"/>
      <w:sz w:val="16"/>
      <w:szCs w:val="16"/>
    </w:rPr>
  </w:style>
  <w:style w:type="character" w:customStyle="1" w:styleId="BalloonTextChar">
    <w:name w:val="Balloon Text Char"/>
    <w:basedOn w:val="DefaultParagraphFont"/>
    <w:link w:val="BalloonText"/>
    <w:uiPriority w:val="99"/>
    <w:semiHidden/>
    <w:rsid w:val="00654F2F"/>
    <w:rPr>
      <w:rFonts w:ascii="Tahoma" w:hAnsi="Tahoma" w:cs="Tahoma"/>
      <w:sz w:val="16"/>
      <w:szCs w:val="16"/>
      <w:lang w:eastAsia="ja-JP"/>
    </w:rPr>
  </w:style>
  <w:style w:type="paragraph" w:styleId="ListParagraph">
    <w:name w:val="List Paragraph"/>
    <w:basedOn w:val="Normal"/>
    <w:uiPriority w:val="34"/>
    <w:qFormat/>
    <w:rsid w:val="000B5E56"/>
    <w:pPr>
      <w:ind w:left="720"/>
      <w:contextualSpacing/>
    </w:pPr>
  </w:style>
  <w:style w:type="paragraph" w:customStyle="1" w:styleId="DefaultText">
    <w:name w:val="Default Text"/>
    <w:basedOn w:val="Normal"/>
    <w:rsid w:val="007D2E10"/>
    <w:rPr>
      <w:rFonts w:eastAsia="Times New Roman"/>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F2F"/>
    <w:rPr>
      <w:rFonts w:ascii="Tahoma" w:hAnsi="Tahoma" w:cs="Tahoma"/>
      <w:sz w:val="16"/>
      <w:szCs w:val="16"/>
    </w:rPr>
  </w:style>
  <w:style w:type="character" w:customStyle="1" w:styleId="BalloonTextChar">
    <w:name w:val="Balloon Text Char"/>
    <w:basedOn w:val="DefaultParagraphFont"/>
    <w:link w:val="BalloonText"/>
    <w:uiPriority w:val="99"/>
    <w:semiHidden/>
    <w:rsid w:val="00654F2F"/>
    <w:rPr>
      <w:rFonts w:ascii="Tahoma" w:hAnsi="Tahoma" w:cs="Tahoma"/>
      <w:sz w:val="16"/>
      <w:szCs w:val="16"/>
      <w:lang w:eastAsia="ja-JP"/>
    </w:rPr>
  </w:style>
  <w:style w:type="paragraph" w:styleId="ListParagraph">
    <w:name w:val="List Paragraph"/>
    <w:basedOn w:val="Normal"/>
    <w:uiPriority w:val="34"/>
    <w:qFormat/>
    <w:rsid w:val="000B5E56"/>
    <w:pPr>
      <w:ind w:left="720"/>
      <w:contextualSpacing/>
    </w:pPr>
  </w:style>
  <w:style w:type="paragraph" w:customStyle="1" w:styleId="DefaultText">
    <w:name w:val="Default Text"/>
    <w:basedOn w:val="Normal"/>
    <w:rsid w:val="007D2E10"/>
    <w:rPr>
      <w:rFonts w:eastAsia="Times New Roman"/>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image" Target="file:///C:\Documents%20and%20Settings\Peter\Desktop\INPUT-OUTPUT%20ANALYSIS%20AND%20CARBON%20FOOTPRINTING%20%20AN%20OVERVIEW%20OF%20APPLICATIONS%20-%20Economic%20Systems%20Research_files\image(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eter%20Harper\Documents\CARBON%20CALCULATOR%20DOCUMENTS\NEW%20DAN'S%20HOUSE%20COLLECTION\Formula%20calculation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eter%20Harper\Documents\COURSES\BATH\2014%20SERIES\PRACTICAL%20SESSION\Some%20results%20from%202014%20and%20oth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GB" sz="1000" b="1" i="0" u="none" strike="noStrike" baseline="0">
                <a:effectLst/>
              </a:rPr>
              <a:t>Equivalised disposable income  deciles vs per CO2e emissions, based on data from Gough et al. (2012)</a:t>
            </a:r>
            <a:endParaRPr lang="en-US" sz="1000"/>
          </a:p>
        </c:rich>
      </c:tx>
      <c:layout>
        <c:manualLayout>
          <c:xMode val="edge"/>
          <c:yMode val="edge"/>
          <c:x val="0.2268130434201055"/>
          <c:y val="1.5665796344647518E-2"/>
        </c:manualLayout>
      </c:layout>
      <c:overlay val="0"/>
    </c:title>
    <c:autoTitleDeleted val="0"/>
    <c:plotArea>
      <c:layout>
        <c:manualLayout>
          <c:layoutTarget val="inner"/>
          <c:xMode val="edge"/>
          <c:yMode val="edge"/>
          <c:x val="0.18032174947490895"/>
          <c:y val="3.3648938054522327E-2"/>
          <c:w val="0.62389938757655294"/>
          <c:h val="0.8326195683872849"/>
        </c:manualLayout>
      </c:layout>
      <c:scatterChart>
        <c:scatterStyle val="lineMarker"/>
        <c:varyColors val="0"/>
        <c:ser>
          <c:idx val="0"/>
          <c:order val="0"/>
          <c:spPr>
            <a:ln w="28575">
              <a:noFill/>
            </a:ln>
          </c:spPr>
          <c:trendline>
            <c:trendlineType val="poly"/>
            <c:order val="2"/>
            <c:dispRSqr val="0"/>
            <c:dispEq val="1"/>
            <c:trendlineLbl>
              <c:layout>
                <c:manualLayout>
                  <c:x val="0.11037730331727817"/>
                  <c:y val="0.33276949679762746"/>
                </c:manualLayout>
              </c:layout>
              <c:numFmt formatCode="General" sourceLinked="0"/>
            </c:trendlineLbl>
          </c:trendline>
          <c:xVal>
            <c:numRef>
              <c:f>Sheet1!$B$10:$K$10</c:f>
              <c:numCache>
                <c:formatCode>General</c:formatCode>
                <c:ptCount val="10"/>
                <c:pt idx="0">
                  <c:v>7.0259999999999998</c:v>
                </c:pt>
                <c:pt idx="1">
                  <c:v>11.164999999999999</c:v>
                </c:pt>
                <c:pt idx="2">
                  <c:v>13.456</c:v>
                </c:pt>
                <c:pt idx="3">
                  <c:v>15.664999999999999</c:v>
                </c:pt>
                <c:pt idx="4">
                  <c:v>18.170999999999999</c:v>
                </c:pt>
                <c:pt idx="5">
                  <c:v>21.198</c:v>
                </c:pt>
                <c:pt idx="6">
                  <c:v>24.827999999999999</c:v>
                </c:pt>
                <c:pt idx="7">
                  <c:v>29.468</c:v>
                </c:pt>
                <c:pt idx="8">
                  <c:v>36.542999999999999</c:v>
                </c:pt>
                <c:pt idx="9">
                  <c:v>63.661000000000001</c:v>
                </c:pt>
              </c:numCache>
            </c:numRef>
          </c:xVal>
          <c:yVal>
            <c:numRef>
              <c:f>Sheet1!$B$11:$K$11</c:f>
              <c:numCache>
                <c:formatCode>General</c:formatCode>
                <c:ptCount val="10"/>
                <c:pt idx="0">
                  <c:v>10.199999999999999</c:v>
                </c:pt>
                <c:pt idx="1">
                  <c:v>11.8</c:v>
                </c:pt>
                <c:pt idx="2">
                  <c:v>13.04</c:v>
                </c:pt>
                <c:pt idx="3">
                  <c:v>12.84</c:v>
                </c:pt>
                <c:pt idx="4">
                  <c:v>13.44</c:v>
                </c:pt>
                <c:pt idx="5">
                  <c:v>14.47</c:v>
                </c:pt>
                <c:pt idx="6">
                  <c:v>15.55</c:v>
                </c:pt>
                <c:pt idx="7">
                  <c:v>17.05</c:v>
                </c:pt>
                <c:pt idx="8">
                  <c:v>18.89</c:v>
                </c:pt>
                <c:pt idx="9">
                  <c:v>24.52</c:v>
                </c:pt>
              </c:numCache>
            </c:numRef>
          </c:yVal>
          <c:smooth val="0"/>
        </c:ser>
        <c:dLbls>
          <c:showLegendKey val="0"/>
          <c:showVal val="0"/>
          <c:showCatName val="0"/>
          <c:showSerName val="0"/>
          <c:showPercent val="0"/>
          <c:showBubbleSize val="0"/>
        </c:dLbls>
        <c:axId val="165200256"/>
        <c:axId val="165202176"/>
      </c:scatterChart>
      <c:valAx>
        <c:axId val="165200256"/>
        <c:scaling>
          <c:orientation val="minMax"/>
        </c:scaling>
        <c:delete val="0"/>
        <c:axPos val="b"/>
        <c:title>
          <c:tx>
            <c:rich>
              <a:bodyPr/>
              <a:lstStyle/>
              <a:p>
                <a:pPr>
                  <a:defRPr sz="900"/>
                </a:pPr>
                <a:r>
                  <a:rPr lang="en-GB" sz="900"/>
                  <a:t>Annual household disposable income, £1000/y</a:t>
                </a:r>
              </a:p>
            </c:rich>
          </c:tx>
          <c:overlay val="0"/>
        </c:title>
        <c:numFmt formatCode="General" sourceLinked="1"/>
        <c:majorTickMark val="out"/>
        <c:minorTickMark val="none"/>
        <c:tickLblPos val="nextTo"/>
        <c:crossAx val="165202176"/>
        <c:crosses val="autoZero"/>
        <c:crossBetween val="midCat"/>
      </c:valAx>
      <c:valAx>
        <c:axId val="165202176"/>
        <c:scaling>
          <c:orientation val="minMax"/>
        </c:scaling>
        <c:delete val="0"/>
        <c:axPos val="l"/>
        <c:majorGridlines/>
        <c:title>
          <c:tx>
            <c:rich>
              <a:bodyPr rot="-5400000" vert="horz"/>
              <a:lstStyle/>
              <a:p>
                <a:pPr>
                  <a:defRPr sz="800"/>
                </a:pPr>
                <a:r>
                  <a:rPr lang="en-GB" sz="800"/>
                  <a:t>Per</a:t>
                </a:r>
                <a:r>
                  <a:rPr lang="en-GB" sz="800" baseline="0"/>
                  <a:t> capita  GHGE, tCO2e/y</a:t>
                </a:r>
                <a:endParaRPr lang="en-GB" sz="800"/>
              </a:p>
            </c:rich>
          </c:tx>
          <c:layout>
            <c:manualLayout>
              <c:xMode val="edge"/>
              <c:yMode val="edge"/>
              <c:x val="8.450558310322788E-2"/>
              <c:y val="0.33606395826288588"/>
            </c:manualLayout>
          </c:layout>
          <c:overlay val="0"/>
        </c:title>
        <c:numFmt formatCode="General" sourceLinked="1"/>
        <c:majorTickMark val="out"/>
        <c:minorTickMark val="none"/>
        <c:tickLblPos val="nextTo"/>
        <c:crossAx val="165200256"/>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Sheet1!$L$19</c:f>
              <c:strCache>
                <c:ptCount val="1"/>
                <c:pt idx="0">
                  <c:v>BATH MAX 2014</c:v>
                </c:pt>
              </c:strCache>
            </c:strRef>
          </c:tx>
          <c:spPr>
            <a:ln w="38100">
              <a:solidFill>
                <a:schemeClr val="tx1"/>
              </a:solidFill>
            </a:ln>
            <a:effectLst>
              <a:outerShdw blurRad="50800" dist="50800" dir="5400000" algn="ctr" rotWithShape="0">
                <a:schemeClr val="tx1"/>
              </a:outerShdw>
            </a:effectLst>
          </c:spPr>
          <c:marker>
            <c:symbol val="diamond"/>
            <c:size val="12"/>
            <c:spPr>
              <a:solidFill>
                <a:srgbClr val="FF0000"/>
              </a:solidFill>
              <a:ln w="19050">
                <a:solidFill>
                  <a:schemeClr val="tx1"/>
                </a:solidFill>
              </a:ln>
              <a:effectLst>
                <a:outerShdw blurRad="50800" dist="50800" dir="5400000" algn="ctr" rotWithShape="0">
                  <a:schemeClr val="tx1"/>
                </a:outerShdw>
              </a:effectLst>
            </c:spPr>
          </c:marker>
          <c:xVal>
            <c:numRef>
              <c:f>Sheet1!$M$18:$R$18</c:f>
              <c:numCache>
                <c:formatCode>General</c:formatCode>
                <c:ptCount val="6"/>
                <c:pt idx="0">
                  <c:v>12</c:v>
                </c:pt>
                <c:pt idx="1">
                  <c:v>16</c:v>
                </c:pt>
                <c:pt idx="2">
                  <c:v>24</c:v>
                </c:pt>
                <c:pt idx="3">
                  <c:v>40</c:v>
                </c:pt>
                <c:pt idx="4">
                  <c:v>60</c:v>
                </c:pt>
                <c:pt idx="5">
                  <c:v>70</c:v>
                </c:pt>
              </c:numCache>
            </c:numRef>
          </c:xVal>
          <c:yVal>
            <c:numRef>
              <c:f>Sheet1!$M$19:$R$19</c:f>
              <c:numCache>
                <c:formatCode>General</c:formatCode>
                <c:ptCount val="6"/>
                <c:pt idx="0">
                  <c:v>14.7</c:v>
                </c:pt>
                <c:pt idx="2">
                  <c:v>21.2</c:v>
                </c:pt>
                <c:pt idx="5">
                  <c:v>50.7</c:v>
                </c:pt>
              </c:numCache>
            </c:numRef>
          </c:yVal>
          <c:smooth val="1"/>
        </c:ser>
        <c:ser>
          <c:idx val="1"/>
          <c:order val="1"/>
          <c:tx>
            <c:strRef>
              <c:f>Sheet1!$L$20</c:f>
              <c:strCache>
                <c:ptCount val="1"/>
                <c:pt idx="0">
                  <c:v>BATH MAX 2013</c:v>
                </c:pt>
              </c:strCache>
            </c:strRef>
          </c:tx>
          <c:marker>
            <c:spPr>
              <a:solidFill>
                <a:srgbClr val="FF0000"/>
              </a:solidFill>
            </c:spPr>
          </c:marker>
          <c:xVal>
            <c:numRef>
              <c:f>Sheet1!$M$18:$R$18</c:f>
              <c:numCache>
                <c:formatCode>General</c:formatCode>
                <c:ptCount val="6"/>
                <c:pt idx="0">
                  <c:v>12</c:v>
                </c:pt>
                <c:pt idx="1">
                  <c:v>16</c:v>
                </c:pt>
                <c:pt idx="2">
                  <c:v>24</c:v>
                </c:pt>
                <c:pt idx="3">
                  <c:v>40</c:v>
                </c:pt>
                <c:pt idx="4">
                  <c:v>60</c:v>
                </c:pt>
                <c:pt idx="5">
                  <c:v>70</c:v>
                </c:pt>
              </c:numCache>
            </c:numRef>
          </c:xVal>
          <c:yVal>
            <c:numRef>
              <c:f>Sheet1!$M$20:$R$20</c:f>
              <c:numCache>
                <c:formatCode>General</c:formatCode>
                <c:ptCount val="6"/>
                <c:pt idx="0">
                  <c:v>15.1</c:v>
                </c:pt>
                <c:pt idx="4">
                  <c:v>34</c:v>
                </c:pt>
              </c:numCache>
            </c:numRef>
          </c:yVal>
          <c:smooth val="1"/>
        </c:ser>
        <c:ser>
          <c:idx val="2"/>
          <c:order val="2"/>
          <c:tx>
            <c:strRef>
              <c:f>Sheet1!$L$21</c:f>
              <c:strCache>
                <c:ptCount val="1"/>
                <c:pt idx="0">
                  <c:v>BATH MIN 2013</c:v>
                </c:pt>
              </c:strCache>
            </c:strRef>
          </c:tx>
          <c:marker>
            <c:symbol val="triangle"/>
            <c:size val="9"/>
            <c:spPr>
              <a:solidFill>
                <a:srgbClr val="00B050"/>
              </a:solidFill>
              <a:ln>
                <a:solidFill>
                  <a:schemeClr val="tx1"/>
                </a:solidFill>
              </a:ln>
            </c:spPr>
          </c:marker>
          <c:xVal>
            <c:numRef>
              <c:f>Sheet1!$M$18:$R$18</c:f>
              <c:numCache>
                <c:formatCode>General</c:formatCode>
                <c:ptCount val="6"/>
                <c:pt idx="0">
                  <c:v>12</c:v>
                </c:pt>
                <c:pt idx="1">
                  <c:v>16</c:v>
                </c:pt>
                <c:pt idx="2">
                  <c:v>24</c:v>
                </c:pt>
                <c:pt idx="3">
                  <c:v>40</c:v>
                </c:pt>
                <c:pt idx="4">
                  <c:v>60</c:v>
                </c:pt>
                <c:pt idx="5">
                  <c:v>70</c:v>
                </c:pt>
              </c:numCache>
            </c:numRef>
          </c:xVal>
          <c:yVal>
            <c:numRef>
              <c:f>Sheet1!$M$21:$R$21</c:f>
              <c:numCache>
                <c:formatCode>General</c:formatCode>
                <c:ptCount val="6"/>
                <c:pt idx="0">
                  <c:v>6</c:v>
                </c:pt>
                <c:pt idx="4">
                  <c:v>12.1</c:v>
                </c:pt>
              </c:numCache>
            </c:numRef>
          </c:yVal>
          <c:smooth val="1"/>
        </c:ser>
        <c:ser>
          <c:idx val="3"/>
          <c:order val="3"/>
          <c:tx>
            <c:strRef>
              <c:f>Sheet1!$L$22</c:f>
              <c:strCache>
                <c:ptCount val="1"/>
                <c:pt idx="0">
                  <c:v>BATH MIN 2014</c:v>
                </c:pt>
              </c:strCache>
            </c:strRef>
          </c:tx>
          <c:spPr>
            <a:effectLst>
              <a:outerShdw blurRad="50800" dist="50800" dir="5400000" algn="ctr" rotWithShape="0">
                <a:schemeClr val="tx1"/>
              </a:outerShdw>
            </a:effectLst>
          </c:spPr>
          <c:marker>
            <c:symbol val="diamond"/>
            <c:size val="10"/>
            <c:spPr>
              <a:solidFill>
                <a:srgbClr val="00B050"/>
              </a:solidFill>
              <a:ln w="15875">
                <a:solidFill>
                  <a:schemeClr val="tx1"/>
                </a:solidFill>
              </a:ln>
              <a:effectLst>
                <a:outerShdw blurRad="50800" dist="50800" dir="5400000" algn="ctr" rotWithShape="0">
                  <a:schemeClr val="tx1"/>
                </a:outerShdw>
              </a:effectLst>
            </c:spPr>
          </c:marker>
          <c:xVal>
            <c:numRef>
              <c:f>Sheet1!$M$18:$R$18</c:f>
              <c:numCache>
                <c:formatCode>General</c:formatCode>
                <c:ptCount val="6"/>
                <c:pt idx="0">
                  <c:v>12</c:v>
                </c:pt>
                <c:pt idx="1">
                  <c:v>16</c:v>
                </c:pt>
                <c:pt idx="2">
                  <c:v>24</c:v>
                </c:pt>
                <c:pt idx="3">
                  <c:v>40</c:v>
                </c:pt>
                <c:pt idx="4">
                  <c:v>60</c:v>
                </c:pt>
                <c:pt idx="5">
                  <c:v>70</c:v>
                </c:pt>
              </c:numCache>
            </c:numRef>
          </c:xVal>
          <c:yVal>
            <c:numRef>
              <c:f>Sheet1!$M$22:$R$22</c:f>
              <c:numCache>
                <c:formatCode>General</c:formatCode>
                <c:ptCount val="6"/>
                <c:pt idx="0">
                  <c:v>9.1999999999999993</c:v>
                </c:pt>
                <c:pt idx="2">
                  <c:v>10.1</c:v>
                </c:pt>
                <c:pt idx="5">
                  <c:v>13.8</c:v>
                </c:pt>
              </c:numCache>
            </c:numRef>
          </c:yVal>
          <c:smooth val="1"/>
        </c:ser>
        <c:ser>
          <c:idx val="4"/>
          <c:order val="4"/>
          <c:tx>
            <c:strRef>
              <c:f>Sheet1!$L$23</c:f>
              <c:strCache>
                <c:ptCount val="1"/>
                <c:pt idx="0">
                  <c:v>CAT  MAX 2012</c:v>
                </c:pt>
              </c:strCache>
            </c:strRef>
          </c:tx>
          <c:marker>
            <c:symbol val="circle"/>
            <c:size val="7"/>
            <c:spPr>
              <a:solidFill>
                <a:srgbClr val="FF0000"/>
              </a:solidFill>
            </c:spPr>
          </c:marker>
          <c:xVal>
            <c:numRef>
              <c:f>Sheet1!$M$18:$R$18</c:f>
              <c:numCache>
                <c:formatCode>General</c:formatCode>
                <c:ptCount val="6"/>
                <c:pt idx="0">
                  <c:v>12</c:v>
                </c:pt>
                <c:pt idx="1">
                  <c:v>16</c:v>
                </c:pt>
                <c:pt idx="2">
                  <c:v>24</c:v>
                </c:pt>
                <c:pt idx="3">
                  <c:v>40</c:v>
                </c:pt>
                <c:pt idx="4">
                  <c:v>60</c:v>
                </c:pt>
                <c:pt idx="5">
                  <c:v>70</c:v>
                </c:pt>
              </c:numCache>
            </c:numRef>
          </c:xVal>
          <c:yVal>
            <c:numRef>
              <c:f>Sheet1!$M$23:$R$23</c:f>
              <c:numCache>
                <c:formatCode>General</c:formatCode>
                <c:ptCount val="6"/>
                <c:pt idx="0">
                  <c:v>22.8</c:v>
                </c:pt>
                <c:pt idx="3">
                  <c:v>64.3</c:v>
                </c:pt>
              </c:numCache>
            </c:numRef>
          </c:yVal>
          <c:smooth val="1"/>
        </c:ser>
        <c:ser>
          <c:idx val="5"/>
          <c:order val="5"/>
          <c:tx>
            <c:strRef>
              <c:f>Sheet1!$L$24</c:f>
              <c:strCache>
                <c:ptCount val="1"/>
                <c:pt idx="0">
                  <c:v>CAT MIN 2012</c:v>
                </c:pt>
              </c:strCache>
            </c:strRef>
          </c:tx>
          <c:marker>
            <c:spPr>
              <a:solidFill>
                <a:srgbClr val="00B050"/>
              </a:solidFill>
              <a:ln>
                <a:solidFill>
                  <a:schemeClr val="tx1"/>
                </a:solidFill>
              </a:ln>
            </c:spPr>
          </c:marker>
          <c:xVal>
            <c:numRef>
              <c:f>Sheet1!$M$18:$R$18</c:f>
              <c:numCache>
                <c:formatCode>General</c:formatCode>
                <c:ptCount val="6"/>
                <c:pt idx="0">
                  <c:v>12</c:v>
                </c:pt>
                <c:pt idx="1">
                  <c:v>16</c:v>
                </c:pt>
                <c:pt idx="2">
                  <c:v>24</c:v>
                </c:pt>
                <c:pt idx="3">
                  <c:v>40</c:v>
                </c:pt>
                <c:pt idx="4">
                  <c:v>60</c:v>
                </c:pt>
                <c:pt idx="5">
                  <c:v>70</c:v>
                </c:pt>
              </c:numCache>
            </c:numRef>
          </c:xVal>
          <c:yVal>
            <c:numRef>
              <c:f>Sheet1!$M$24:$R$24</c:f>
              <c:numCache>
                <c:formatCode>General</c:formatCode>
                <c:ptCount val="6"/>
                <c:pt idx="0">
                  <c:v>4.8</c:v>
                </c:pt>
                <c:pt idx="3">
                  <c:v>13.4</c:v>
                </c:pt>
              </c:numCache>
            </c:numRef>
          </c:yVal>
          <c:smooth val="1"/>
        </c:ser>
        <c:ser>
          <c:idx val="6"/>
          <c:order val="6"/>
          <c:tx>
            <c:strRef>
              <c:f>Sheet1!$L$25</c:f>
              <c:strCache>
                <c:ptCount val="1"/>
                <c:pt idx="0">
                  <c:v>REAL CASE MIN 1</c:v>
                </c:pt>
              </c:strCache>
            </c:strRef>
          </c:tx>
          <c:marker>
            <c:spPr>
              <a:solidFill>
                <a:schemeClr val="accent3">
                  <a:lumMod val="50000"/>
                </a:schemeClr>
              </a:solidFill>
            </c:spPr>
          </c:marker>
          <c:xVal>
            <c:numRef>
              <c:f>Sheet1!$M$18:$R$18</c:f>
              <c:numCache>
                <c:formatCode>General</c:formatCode>
                <c:ptCount val="6"/>
                <c:pt idx="0">
                  <c:v>12</c:v>
                </c:pt>
                <c:pt idx="1">
                  <c:v>16</c:v>
                </c:pt>
                <c:pt idx="2">
                  <c:v>24</c:v>
                </c:pt>
                <c:pt idx="3">
                  <c:v>40</c:v>
                </c:pt>
                <c:pt idx="4">
                  <c:v>60</c:v>
                </c:pt>
                <c:pt idx="5">
                  <c:v>70</c:v>
                </c:pt>
              </c:numCache>
            </c:numRef>
          </c:xVal>
          <c:yVal>
            <c:numRef>
              <c:f>Sheet1!$M$25:$R$25</c:f>
              <c:numCache>
                <c:formatCode>General</c:formatCode>
                <c:ptCount val="6"/>
                <c:pt idx="3">
                  <c:v>16.2</c:v>
                </c:pt>
              </c:numCache>
            </c:numRef>
          </c:yVal>
          <c:smooth val="1"/>
        </c:ser>
        <c:ser>
          <c:idx val="7"/>
          <c:order val="7"/>
          <c:tx>
            <c:strRef>
              <c:f>Sheet1!$L$26</c:f>
              <c:strCache>
                <c:ptCount val="1"/>
                <c:pt idx="0">
                  <c:v>REAL CASE MIN 2 2009</c:v>
                </c:pt>
              </c:strCache>
            </c:strRef>
          </c:tx>
          <c:marker>
            <c:symbol val="star"/>
            <c:size val="7"/>
            <c:spPr>
              <a:solidFill>
                <a:schemeClr val="accent3">
                  <a:lumMod val="50000"/>
                </a:schemeClr>
              </a:solidFill>
            </c:spPr>
          </c:marker>
          <c:xVal>
            <c:numRef>
              <c:f>Sheet1!$M$18:$R$18</c:f>
              <c:numCache>
                <c:formatCode>General</c:formatCode>
                <c:ptCount val="6"/>
                <c:pt idx="0">
                  <c:v>12</c:v>
                </c:pt>
                <c:pt idx="1">
                  <c:v>16</c:v>
                </c:pt>
                <c:pt idx="2">
                  <c:v>24</c:v>
                </c:pt>
                <c:pt idx="3">
                  <c:v>40</c:v>
                </c:pt>
                <c:pt idx="4">
                  <c:v>60</c:v>
                </c:pt>
                <c:pt idx="5">
                  <c:v>70</c:v>
                </c:pt>
              </c:numCache>
            </c:numRef>
          </c:xVal>
          <c:yVal>
            <c:numRef>
              <c:f>Sheet1!$M$26:$R$26</c:f>
              <c:numCache>
                <c:formatCode>General</c:formatCode>
                <c:ptCount val="6"/>
                <c:pt idx="1">
                  <c:v>9.19</c:v>
                </c:pt>
              </c:numCache>
            </c:numRef>
          </c:yVal>
          <c:smooth val="1"/>
        </c:ser>
        <c:ser>
          <c:idx val="8"/>
          <c:order val="8"/>
          <c:tx>
            <c:strRef>
              <c:f>Sheet1!$L$27</c:f>
              <c:strCache>
                <c:ptCount val="1"/>
                <c:pt idx="0">
                  <c:v>REAL CASE MIN 3 2010</c:v>
                </c:pt>
              </c:strCache>
            </c:strRef>
          </c:tx>
          <c:spPr>
            <a:effectLst/>
          </c:spPr>
          <c:marker>
            <c:symbol val="x"/>
            <c:size val="10"/>
            <c:spPr>
              <a:noFill/>
              <a:ln w="19050">
                <a:solidFill>
                  <a:schemeClr val="accent3">
                    <a:lumMod val="50000"/>
                  </a:schemeClr>
                </a:solidFill>
              </a:ln>
              <a:effectLst/>
            </c:spPr>
          </c:marker>
          <c:xVal>
            <c:numRef>
              <c:f>Sheet1!$M$18:$R$18</c:f>
              <c:numCache>
                <c:formatCode>General</c:formatCode>
                <c:ptCount val="6"/>
                <c:pt idx="0">
                  <c:v>12</c:v>
                </c:pt>
                <c:pt idx="1">
                  <c:v>16</c:v>
                </c:pt>
                <c:pt idx="2">
                  <c:v>24</c:v>
                </c:pt>
                <c:pt idx="3">
                  <c:v>40</c:v>
                </c:pt>
                <c:pt idx="4">
                  <c:v>60</c:v>
                </c:pt>
                <c:pt idx="5">
                  <c:v>70</c:v>
                </c:pt>
              </c:numCache>
            </c:numRef>
          </c:xVal>
          <c:yVal>
            <c:numRef>
              <c:f>Sheet1!$M$27:$R$27</c:f>
              <c:numCache>
                <c:formatCode>General</c:formatCode>
                <c:ptCount val="6"/>
                <c:pt idx="2">
                  <c:v>9.17</c:v>
                </c:pt>
              </c:numCache>
            </c:numRef>
          </c:yVal>
          <c:smooth val="1"/>
        </c:ser>
        <c:ser>
          <c:idx val="9"/>
          <c:order val="9"/>
          <c:tx>
            <c:strRef>
              <c:f>Sheet1!$L$28</c:f>
              <c:strCache>
                <c:ptCount val="1"/>
                <c:pt idx="0">
                  <c:v>GOUGH et al. (2012)</c:v>
                </c:pt>
              </c:strCache>
            </c:strRef>
          </c:tx>
          <c:marker>
            <c:spPr>
              <a:solidFill>
                <a:schemeClr val="tx1"/>
              </a:solidFill>
            </c:spPr>
          </c:marker>
          <c:xVal>
            <c:numRef>
              <c:f>Sheet1!$M$18:$R$18</c:f>
              <c:numCache>
                <c:formatCode>General</c:formatCode>
                <c:ptCount val="6"/>
                <c:pt idx="0">
                  <c:v>12</c:v>
                </c:pt>
                <c:pt idx="1">
                  <c:v>16</c:v>
                </c:pt>
                <c:pt idx="2">
                  <c:v>24</c:v>
                </c:pt>
                <c:pt idx="3">
                  <c:v>40</c:v>
                </c:pt>
                <c:pt idx="4">
                  <c:v>60</c:v>
                </c:pt>
                <c:pt idx="5">
                  <c:v>70</c:v>
                </c:pt>
              </c:numCache>
            </c:numRef>
          </c:xVal>
          <c:yVal>
            <c:numRef>
              <c:f>Sheet1!$M$28:$R$28</c:f>
              <c:numCache>
                <c:formatCode>General</c:formatCode>
                <c:ptCount val="6"/>
                <c:pt idx="0">
                  <c:v>11.9412</c:v>
                </c:pt>
                <c:pt idx="1">
                  <c:v>13.154800000000002</c:v>
                </c:pt>
                <c:pt idx="2">
                  <c:v>15.466800000000001</c:v>
                </c:pt>
                <c:pt idx="3">
                  <c:v>19.630000000000003</c:v>
                </c:pt>
                <c:pt idx="4">
                  <c:v>23.970000000000002</c:v>
                </c:pt>
                <c:pt idx="5">
                  <c:v>25.78</c:v>
                </c:pt>
              </c:numCache>
            </c:numRef>
          </c:yVal>
          <c:smooth val="1"/>
        </c:ser>
        <c:dLbls>
          <c:showLegendKey val="0"/>
          <c:showVal val="0"/>
          <c:showCatName val="0"/>
          <c:showSerName val="0"/>
          <c:showPercent val="0"/>
          <c:showBubbleSize val="0"/>
        </c:dLbls>
        <c:axId val="162593792"/>
        <c:axId val="165176832"/>
      </c:scatterChart>
      <c:valAx>
        <c:axId val="162593792"/>
        <c:scaling>
          <c:orientation val="minMax"/>
        </c:scaling>
        <c:delete val="0"/>
        <c:axPos val="b"/>
        <c:title>
          <c:tx>
            <c:rich>
              <a:bodyPr/>
              <a:lstStyle/>
              <a:p>
                <a:pPr>
                  <a:defRPr/>
                </a:pPr>
                <a:r>
                  <a:rPr lang="en-US"/>
                  <a:t>Household disposable income, £1000 per year</a:t>
                </a:r>
              </a:p>
            </c:rich>
          </c:tx>
          <c:overlay val="0"/>
        </c:title>
        <c:numFmt formatCode="General" sourceLinked="1"/>
        <c:majorTickMark val="out"/>
        <c:minorTickMark val="none"/>
        <c:tickLblPos val="nextTo"/>
        <c:crossAx val="165176832"/>
        <c:crosses val="autoZero"/>
        <c:crossBetween val="midCat"/>
      </c:valAx>
      <c:valAx>
        <c:axId val="165176832"/>
        <c:scaling>
          <c:orientation val="minMax"/>
        </c:scaling>
        <c:delete val="0"/>
        <c:axPos val="l"/>
        <c:majorGridlines/>
        <c:title>
          <c:tx>
            <c:rich>
              <a:bodyPr rot="-5400000" vert="horz"/>
              <a:lstStyle/>
              <a:p>
                <a:pPr>
                  <a:defRPr/>
                </a:pPr>
                <a:r>
                  <a:rPr lang="en-US"/>
                  <a:t>GHGE, tCO2e per person and year</a:t>
                </a:r>
              </a:p>
            </c:rich>
          </c:tx>
          <c:overlay val="0"/>
        </c:title>
        <c:numFmt formatCode="General" sourceLinked="1"/>
        <c:majorTickMark val="out"/>
        <c:minorTickMark val="none"/>
        <c:tickLblPos val="nextTo"/>
        <c:crossAx val="162593792"/>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906</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Harper</dc:creator>
  <cp:lastModifiedBy>Peter Harper</cp:lastModifiedBy>
  <cp:revision>3</cp:revision>
  <dcterms:created xsi:type="dcterms:W3CDTF">2014-10-13T12:42:00Z</dcterms:created>
  <dcterms:modified xsi:type="dcterms:W3CDTF">2014-10-29T11:43:00Z</dcterms:modified>
</cp:coreProperties>
</file>